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143BCD8" w14:textId="7347964B" w:rsidR="00DA7EA3" w:rsidRPr="00BA23C7" w:rsidRDefault="00DA7EA3" w:rsidP="00BA23C7">
      <w:pPr>
        <w:pStyle w:val="a4"/>
        <w:rPr>
          <w:rFonts w:ascii="Arial" w:eastAsia="MS Mincho" w:hAnsi="Arial" w:cs="Arial"/>
          <w:b/>
          <w:bCs/>
          <w:sz w:val="24"/>
          <w:lang w:eastAsia="ja-JP"/>
        </w:rPr>
      </w:pPr>
      <w:r>
        <w:rPr>
          <w:rFonts w:ascii="Arial" w:hAnsi="Arial" w:cs="Arial"/>
          <w:b/>
          <w:bCs/>
          <w:sz w:val="24"/>
        </w:rPr>
        <w:t xml:space="preserve">3GPP TSG RAN WG1 </w:t>
      </w:r>
      <w:r w:rsidR="00BA23C7" w:rsidRPr="00BA23C7">
        <w:rPr>
          <w:rFonts w:ascii="Arial" w:hAnsi="Arial" w:cs="Arial"/>
          <w:b/>
          <w:bCs/>
          <w:sz w:val="24"/>
        </w:rPr>
        <w:t xml:space="preserve">NR Ad Hoc Meeting </w:t>
      </w:r>
      <w:r w:rsidR="00BA23C7">
        <w:rPr>
          <w:rFonts w:ascii="Arial" w:hAnsi="Arial" w:cs="Arial"/>
          <w:b/>
          <w:bCs/>
          <w:sz w:val="24"/>
        </w:rPr>
        <w:tab/>
      </w:r>
      <w:r w:rsidR="002A633D" w:rsidRPr="00BA23C7">
        <w:rPr>
          <w:rFonts w:ascii="Arial" w:eastAsia="MS Mincho" w:hAnsi="Arial" w:cs="Arial"/>
          <w:b/>
          <w:bCs/>
          <w:sz w:val="24"/>
          <w:lang w:eastAsia="ja-JP"/>
        </w:rPr>
        <w:t>R1-</w:t>
      </w:r>
      <w:r w:rsidR="004C60EE" w:rsidRPr="00BA23C7">
        <w:rPr>
          <w:rFonts w:ascii="Arial" w:eastAsia="MS Mincho" w:hAnsi="Arial" w:cs="Arial"/>
          <w:b/>
          <w:bCs/>
          <w:sz w:val="24"/>
          <w:lang w:eastAsia="ja-JP"/>
        </w:rPr>
        <w:t>1700580</w:t>
      </w:r>
    </w:p>
    <w:p w14:paraId="4CBAE35D" w14:textId="77777777" w:rsidR="00140EC6" w:rsidRDefault="00140EC6" w:rsidP="00BA23C7">
      <w:pPr>
        <w:tabs>
          <w:tab w:val="left" w:pos="1860"/>
        </w:tabs>
        <w:spacing w:line="192" w:lineRule="auto"/>
        <w:rPr>
          <w:rFonts w:ascii="맑은 고딕" w:eastAsia="맑은 고딕" w:hAnsi="맑은 고딕" w:cs="Arial"/>
          <w:b/>
          <w:sz w:val="24"/>
        </w:rPr>
      </w:pPr>
      <w:r w:rsidRPr="00BA23C7">
        <w:rPr>
          <w:rFonts w:ascii="Arial" w:eastAsia="맑은 고딕" w:hAnsi="Arial" w:cs="Arial"/>
          <w:b/>
          <w:bCs/>
          <w:sz w:val="24"/>
        </w:rPr>
        <w:t xml:space="preserve">Spokane, USA, </w:t>
      </w:r>
      <w:r w:rsidRPr="005F7957">
        <w:rPr>
          <w:rFonts w:ascii="맑은 고딕" w:eastAsia="맑은 고딕" w:hAnsi="맑은 고딕" w:cs="Arial"/>
          <w:b/>
          <w:sz w:val="24"/>
        </w:rPr>
        <w:t>16th - 20th January 2017</w:t>
      </w:r>
    </w:p>
    <w:p w14:paraId="46911F33" w14:textId="13A973B2"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13571E8F" w:rsidR="00DA7EA3" w:rsidRDefault="00DA7EA3" w:rsidP="004302EB">
      <w:pPr>
        <w:tabs>
          <w:tab w:val="left" w:pos="1965"/>
        </w:tabs>
        <w:spacing w:line="192" w:lineRule="auto"/>
        <w:ind w:left="1841" w:hangingChars="767" w:hanging="1841"/>
        <w:rPr>
          <w:rFonts w:ascii="맑은 고딕" w:eastAsia="맑은 고딕" w:hAnsi="맑은 고딕" w:cs="Arial"/>
          <w:b/>
          <w:sz w:val="24"/>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End w:id="0"/>
      <w:r w:rsidR="00451A39">
        <w:rPr>
          <w:rFonts w:ascii="맑은 고딕" w:eastAsia="맑은 고딕" w:hAnsi="맑은 고딕" w:cs="Arial"/>
          <w:b/>
          <w:sz w:val="24"/>
        </w:rPr>
        <w:t>Discussion</w:t>
      </w:r>
      <w:r w:rsidR="00C66764">
        <w:rPr>
          <w:rFonts w:ascii="맑은 고딕" w:eastAsia="맑은 고딕" w:hAnsi="맑은 고딕" w:cs="Arial"/>
          <w:b/>
          <w:sz w:val="24"/>
        </w:rPr>
        <w:t xml:space="preserve"> for </w:t>
      </w:r>
      <w:r w:rsidR="00451A39">
        <w:rPr>
          <w:rFonts w:ascii="맑은 고딕" w:eastAsia="맑은 고딕" w:hAnsi="맑은 고딕" w:cs="Arial"/>
          <w:b/>
          <w:sz w:val="24"/>
        </w:rPr>
        <w:t>slot type indication</w:t>
      </w:r>
    </w:p>
    <w:p w14:paraId="290C6536" w14:textId="0F9CE0F0" w:rsidR="002C6AC5" w:rsidRPr="00451A39" w:rsidRDefault="00DA7EA3" w:rsidP="00DA7EA3">
      <w:pPr>
        <w:tabs>
          <w:tab w:val="left" w:pos="1860"/>
        </w:tabs>
        <w:spacing w:line="192" w:lineRule="auto"/>
        <w:ind w:left="1871" w:hanging="1871"/>
        <w:rPr>
          <w:rFonts w:ascii="맑은 고딕" w:eastAsia="맑은 고딕" w:hAnsi="맑은 고딕" w:cs="Arial"/>
          <w:b/>
          <w:sz w:val="24"/>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451A39" w:rsidRPr="00451A39">
        <w:rPr>
          <w:rFonts w:ascii="맑은 고딕" w:eastAsia="맑은 고딕" w:hAnsi="맑은 고딕" w:cs="Arial"/>
          <w:b/>
          <w:sz w:val="24"/>
          <w:lang w:val="pt-BR"/>
        </w:rPr>
        <w:t>5.1.3.1</w:t>
      </w:r>
      <w:r w:rsidR="00451A39">
        <w:rPr>
          <w:rFonts w:ascii="맑은 고딕" w:eastAsia="맑은 고딕" w:hAnsi="맑은 고딕" w:cs="Arial"/>
          <w:b/>
          <w:sz w:val="24"/>
          <w:lang w:val="pt-BR"/>
        </w:rPr>
        <w:t xml:space="preserve"> </w:t>
      </w:r>
      <w:r w:rsidR="00451A39" w:rsidRPr="00451A39">
        <w:rPr>
          <w:rFonts w:ascii="맑은 고딕" w:eastAsia="맑은 고딕" w:hAnsi="맑은 고딕" w:cs="Arial"/>
          <w:b/>
          <w:sz w:val="24"/>
          <w:lang w:val="pt-BR"/>
        </w:rPr>
        <w:t>Physical downlink control channel</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5615A2">
      <w:pPr>
        <w:pStyle w:val="1"/>
        <w:numPr>
          <w:ilvl w:val="0"/>
          <w:numId w:val="1"/>
        </w:numPr>
        <w:rPr>
          <w:lang w:eastAsia="ko-KR"/>
        </w:rPr>
      </w:pPr>
      <w:r>
        <w:rPr>
          <w:lang w:eastAsia="ko-KR"/>
        </w:rPr>
        <w:t>Introduction</w:t>
      </w:r>
    </w:p>
    <w:p w14:paraId="3A106BBF" w14:textId="59825364" w:rsidR="004302EB" w:rsidRPr="004302EB" w:rsidRDefault="00623AAA" w:rsidP="00A151BC">
      <w:pPr>
        <w:widowControl w:val="0"/>
        <w:autoSpaceDE w:val="0"/>
        <w:autoSpaceDN w:val="0"/>
        <w:spacing w:after="180" w:line="252" w:lineRule="auto"/>
        <w:jc w:val="both"/>
        <w:rPr>
          <w:rFonts w:ascii="Times New Roman" w:eastAsia="맑은 고딕" w:hAnsi="Times New Roman"/>
          <w:kern w:val="2"/>
          <w:szCs w:val="22"/>
          <w:lang w:val="en-US" w:eastAsia="ko-KR"/>
        </w:rPr>
      </w:pPr>
      <w:r>
        <w:rPr>
          <w:rFonts w:ascii="Times New Roman" w:eastAsia="맑은 고딕" w:hAnsi="Times New Roman"/>
          <w:kern w:val="2"/>
          <w:szCs w:val="22"/>
          <w:lang w:val="en-US" w:eastAsia="ko-KR"/>
        </w:rPr>
        <w:t>In the last #87 meeting, WF on L1 broadcast control channel is noted</w:t>
      </w:r>
      <w:r w:rsidR="006A6B82">
        <w:rPr>
          <w:rFonts w:ascii="Times New Roman" w:eastAsia="맑은 고딕" w:hAnsi="Times New Roman"/>
          <w:kern w:val="2"/>
          <w:szCs w:val="22"/>
          <w:lang w:val="en-US" w:eastAsia="ko-KR"/>
        </w:rPr>
        <w:t xml:space="preserve"> [1]</w:t>
      </w:r>
      <w:r>
        <w:rPr>
          <w:rFonts w:ascii="Times New Roman" w:eastAsia="맑은 고딕" w:hAnsi="Times New Roman"/>
          <w:kern w:val="2"/>
          <w:szCs w:val="22"/>
          <w:lang w:val="en-US" w:eastAsia="ko-KR"/>
        </w:rPr>
        <w:t>. I</w:t>
      </w:r>
      <w:r>
        <w:rPr>
          <w:rFonts w:ascii="Times New Roman" w:eastAsia="맑은 고딕" w:hAnsi="Times New Roman" w:hint="eastAsia"/>
          <w:kern w:val="2"/>
          <w:szCs w:val="22"/>
          <w:lang w:val="en-US" w:eastAsia="ko-KR"/>
        </w:rPr>
        <w:t xml:space="preserve">n </w:t>
      </w:r>
      <w:r>
        <w:rPr>
          <w:rFonts w:ascii="Times New Roman" w:eastAsia="맑은 고딕" w:hAnsi="Times New Roman"/>
          <w:kern w:val="2"/>
          <w:szCs w:val="22"/>
          <w:lang w:val="en-US" w:eastAsia="ko-KR"/>
        </w:rPr>
        <w:t>this contribution, we discuss the need of indicating a slot type and possible periodicity of the indication</w:t>
      </w:r>
      <w:r w:rsidR="00747241">
        <w:rPr>
          <w:rFonts w:ascii="Times New Roman" w:eastAsia="맑은 고딕" w:hAnsi="Times New Roman"/>
          <w:kern w:val="2"/>
          <w:szCs w:val="22"/>
          <w:lang w:val="en-US" w:eastAsia="ko-KR"/>
        </w:rPr>
        <w:t xml:space="preserve"> if introduced</w:t>
      </w:r>
      <w:r>
        <w:rPr>
          <w:rFonts w:ascii="Times New Roman" w:eastAsia="맑은 고딕" w:hAnsi="Times New Roman"/>
          <w:kern w:val="2"/>
          <w:szCs w:val="22"/>
          <w:lang w:val="en-US" w:eastAsia="ko-KR"/>
        </w:rPr>
        <w:t>.</w:t>
      </w:r>
    </w:p>
    <w:p w14:paraId="279009F7" w14:textId="77777777" w:rsidR="00C7198D" w:rsidRDefault="00463E0C" w:rsidP="00015E69">
      <w:pPr>
        <w:pStyle w:val="1"/>
        <w:numPr>
          <w:ilvl w:val="0"/>
          <w:numId w:val="1"/>
        </w:numPr>
      </w:pPr>
      <w:r>
        <w:t>Discussion</w:t>
      </w:r>
    </w:p>
    <w:p w14:paraId="0366E4BE" w14:textId="17D5B484" w:rsidR="00153C79" w:rsidRDefault="00623AAA" w:rsidP="00845A32">
      <w:pPr>
        <w:widowControl w:val="0"/>
        <w:autoSpaceDE w:val="0"/>
        <w:autoSpaceDN w:val="0"/>
        <w:spacing w:after="180" w:line="252" w:lineRule="auto"/>
        <w:ind w:firstLineChars="50" w:firstLine="100"/>
        <w:jc w:val="both"/>
        <w:rPr>
          <w:rFonts w:ascii="Times New Roman" w:eastAsia="맑은 고딕" w:hAnsi="Times New Roman"/>
          <w:kern w:val="2"/>
          <w:szCs w:val="20"/>
          <w:lang w:eastAsia="ko-KR"/>
        </w:rPr>
      </w:pPr>
      <w:bookmarkStart w:id="1" w:name="OLE_LINK11"/>
      <w:bookmarkStart w:id="2" w:name="OLE_LINK12"/>
      <w:r w:rsidRPr="004C60EE">
        <w:rPr>
          <w:rFonts w:ascii="Times New Roman" w:eastAsia="맑은 고딕" w:hAnsi="Times New Roman"/>
          <w:kern w:val="2"/>
          <w:szCs w:val="20"/>
          <w:lang w:eastAsia="ko-KR"/>
        </w:rPr>
        <w:t>In the case of dynamic TDD, each slot may independently change its slot</w:t>
      </w:r>
      <w:r w:rsidR="00232B85" w:rsidRPr="004C60EE">
        <w:rPr>
          <w:rFonts w:ascii="Times New Roman" w:eastAsia="맑은 고딕" w:hAnsi="Times New Roman"/>
          <w:kern w:val="2"/>
          <w:szCs w:val="20"/>
          <w:lang w:eastAsia="ko-KR"/>
        </w:rPr>
        <w:t xml:space="preserve"> among possible candidate types, which are DL slot, UL slot, DL-centric slot, UL-centric slot. </w:t>
      </w:r>
      <w:r w:rsidR="00295288" w:rsidRPr="004C60EE">
        <w:rPr>
          <w:rFonts w:ascii="Times New Roman" w:eastAsia="맑은 고딕" w:hAnsi="Times New Roman"/>
          <w:kern w:val="2"/>
          <w:szCs w:val="20"/>
          <w:lang w:eastAsia="ko-KR"/>
        </w:rPr>
        <w:t xml:space="preserve">We think that it is beneficial to recognize the slot type at least for </w:t>
      </w:r>
      <w:r w:rsidR="009C640F" w:rsidRPr="004C60EE">
        <w:rPr>
          <w:rFonts w:ascii="Times New Roman" w:eastAsia="맑은 고딕" w:hAnsi="Times New Roman"/>
          <w:kern w:val="2"/>
          <w:szCs w:val="20"/>
          <w:lang w:eastAsia="ko-KR"/>
        </w:rPr>
        <w:t>following three</w:t>
      </w:r>
      <w:r w:rsidR="00295288" w:rsidRPr="004C60EE">
        <w:rPr>
          <w:rFonts w:ascii="Times New Roman" w:eastAsia="맑은 고딕" w:hAnsi="Times New Roman"/>
          <w:kern w:val="2"/>
          <w:szCs w:val="20"/>
          <w:lang w:eastAsia="ko-KR"/>
        </w:rPr>
        <w:t xml:space="preserve"> cases.</w:t>
      </w:r>
    </w:p>
    <w:p w14:paraId="3DCB7F0F" w14:textId="4EF40A80" w:rsidR="00740D18" w:rsidRDefault="004C60EE" w:rsidP="004C60EE">
      <w:pPr>
        <w:widowControl w:val="0"/>
        <w:autoSpaceDE w:val="0"/>
        <w:autoSpaceDN w:val="0"/>
        <w:spacing w:after="180" w:line="252" w:lineRule="auto"/>
        <w:ind w:firstLineChars="50" w:firstLine="100"/>
        <w:jc w:val="both"/>
        <w:rPr>
          <w:rFonts w:ascii="Times New Roman" w:eastAsia="맑은 고딕" w:hAnsi="Times New Roman"/>
          <w:kern w:val="2"/>
          <w:szCs w:val="20"/>
          <w:lang w:eastAsia="ko-KR"/>
        </w:rPr>
      </w:pPr>
      <w:r w:rsidRPr="004C60EE">
        <w:rPr>
          <w:rFonts w:ascii="Times New Roman" w:eastAsia="맑은 고딕" w:hAnsi="Times New Roman"/>
          <w:kern w:val="2"/>
          <w:szCs w:val="20"/>
          <w:lang w:eastAsia="ko-KR"/>
        </w:rPr>
        <w:t xml:space="preserve">The first case is for the CQI derivation. In the TDD deployment, a serving gNB and a neighbouring gNB may have different slot type. Suppose that a UE is configured to perform the CQI report with periodic CQI-RS. The UE is expect the periodic CQI-RS transmission, and the serving gNB is responsible to set DL(-centric) slot periodically. The UE receives the CQI-RS to estimate the channel and monitors interferences from the CQI-IM resource. It is </w:t>
      </w:r>
      <w:r w:rsidR="008027C6" w:rsidRPr="008027C6">
        <w:rPr>
          <w:rFonts w:ascii="Times New Roman" w:eastAsia="맑은 고딕" w:hAnsi="Times New Roman"/>
          <w:kern w:val="2"/>
          <w:szCs w:val="20"/>
          <w:lang w:eastAsia="ko-KR"/>
        </w:rPr>
        <w:t>consistent</w:t>
      </w:r>
      <w:r w:rsidR="008027C6">
        <w:rPr>
          <w:rFonts w:ascii="Times New Roman" w:eastAsia="맑은 고딕" w:hAnsi="Times New Roman"/>
          <w:kern w:val="2"/>
          <w:szCs w:val="20"/>
          <w:lang w:eastAsia="ko-KR"/>
        </w:rPr>
        <w:t xml:space="preserve"> </w:t>
      </w:r>
      <w:r w:rsidRPr="004C60EE">
        <w:rPr>
          <w:rFonts w:ascii="Times New Roman" w:eastAsia="맑은 고딕" w:hAnsi="Times New Roman"/>
          <w:kern w:val="2"/>
          <w:szCs w:val="20"/>
          <w:lang w:eastAsia="ko-KR"/>
        </w:rPr>
        <w:t xml:space="preserve">that CQI-RS and CQI-IM </w:t>
      </w:r>
      <w:r w:rsidR="008027C6">
        <w:rPr>
          <w:rFonts w:ascii="Times New Roman" w:eastAsia="맑은 고딕" w:hAnsi="Times New Roman"/>
          <w:kern w:val="2"/>
          <w:szCs w:val="20"/>
          <w:lang w:eastAsia="ko-KR"/>
        </w:rPr>
        <w:t>are configured</w:t>
      </w:r>
      <w:r w:rsidR="008027C6" w:rsidRPr="004C60EE">
        <w:rPr>
          <w:rFonts w:ascii="Times New Roman" w:eastAsia="맑은 고딕" w:hAnsi="Times New Roman"/>
          <w:kern w:val="2"/>
          <w:szCs w:val="20"/>
          <w:lang w:eastAsia="ko-KR"/>
        </w:rPr>
        <w:t xml:space="preserve"> </w:t>
      </w:r>
      <w:r w:rsidRPr="004C60EE">
        <w:rPr>
          <w:rFonts w:ascii="Times New Roman" w:eastAsia="맑은 고딕" w:hAnsi="Times New Roman"/>
          <w:kern w:val="2"/>
          <w:szCs w:val="20"/>
          <w:lang w:eastAsia="ko-KR"/>
        </w:rPr>
        <w:t>in the same slot. In order to derive a valid CQI report, the CQI-IM resource does not coincide the UL transmission. However, the neighbouring gNB has an independent scheduler, and the UE is required to distinguish whether CQI-IM resource captures DL interference or UL interference. By detecting the slot type of the neighbouring gNB, the UE should derive at least two CQI report</w:t>
      </w:r>
      <w:r w:rsidR="008027C6">
        <w:rPr>
          <w:rFonts w:ascii="Times New Roman" w:eastAsia="맑은 고딕" w:hAnsi="Times New Roman"/>
          <w:kern w:val="2"/>
          <w:szCs w:val="20"/>
          <w:lang w:eastAsia="ko-KR"/>
        </w:rPr>
        <w:t>s</w:t>
      </w:r>
      <w:r w:rsidRPr="004C60EE">
        <w:rPr>
          <w:rFonts w:ascii="Times New Roman" w:eastAsia="맑은 고딕" w:hAnsi="Times New Roman"/>
          <w:kern w:val="2"/>
          <w:szCs w:val="20"/>
          <w:lang w:eastAsia="ko-KR"/>
        </w:rPr>
        <w:t xml:space="preserve"> depending on the CQI reference assumption. </w:t>
      </w:r>
      <w:r w:rsidR="00740D18">
        <w:rPr>
          <w:rFonts w:ascii="Times New Roman" w:eastAsia="맑은 고딕" w:hAnsi="Times New Roman"/>
          <w:kern w:val="2"/>
          <w:szCs w:val="20"/>
          <w:lang w:eastAsia="ko-KR"/>
        </w:rPr>
        <w:t xml:space="preserve">Recall that </w:t>
      </w:r>
      <w:r w:rsidRPr="004C60EE">
        <w:rPr>
          <w:rFonts w:ascii="Times New Roman" w:eastAsia="맑은 고딕" w:hAnsi="Times New Roman"/>
          <w:kern w:val="2"/>
          <w:szCs w:val="20"/>
          <w:lang w:eastAsia="ko-KR"/>
        </w:rPr>
        <w:t xml:space="preserve">LTE </w:t>
      </w:r>
      <w:r w:rsidR="008027C6">
        <w:rPr>
          <w:rFonts w:ascii="Times New Roman" w:eastAsia="맑은 고딕" w:hAnsi="Times New Roman"/>
          <w:kern w:val="2"/>
          <w:szCs w:val="20"/>
          <w:lang w:eastAsia="ko-KR"/>
        </w:rPr>
        <w:t>supports</w:t>
      </w:r>
      <w:r w:rsidRPr="004C60EE">
        <w:rPr>
          <w:rFonts w:ascii="Times New Roman" w:eastAsia="맑은 고딕" w:hAnsi="Times New Roman"/>
          <w:kern w:val="2"/>
          <w:szCs w:val="20"/>
          <w:lang w:eastAsia="ko-KR"/>
        </w:rPr>
        <w:t xml:space="preserve"> this feature; in the LTE eICIC scenario, the normal subframe and the almost blank subframe have different CSI subframe set because each set has different interference level.</w:t>
      </w:r>
    </w:p>
    <w:p w14:paraId="21AB5390" w14:textId="2FC50A12" w:rsidR="004C60EE" w:rsidRPr="004C60EE" w:rsidRDefault="004C60EE" w:rsidP="004C60EE">
      <w:pPr>
        <w:widowControl w:val="0"/>
        <w:autoSpaceDE w:val="0"/>
        <w:autoSpaceDN w:val="0"/>
        <w:spacing w:after="180" w:line="252" w:lineRule="auto"/>
        <w:ind w:firstLineChars="50" w:firstLine="100"/>
        <w:jc w:val="both"/>
        <w:rPr>
          <w:rFonts w:ascii="Times New Roman" w:eastAsia="맑은 고딕" w:hAnsi="Times New Roman"/>
          <w:kern w:val="2"/>
          <w:szCs w:val="20"/>
          <w:lang w:eastAsia="ko-KR"/>
        </w:rPr>
      </w:pPr>
      <w:r w:rsidRPr="004C60EE">
        <w:rPr>
          <w:rFonts w:ascii="Times New Roman" w:eastAsia="맑은 고딕" w:hAnsi="Times New Roman"/>
          <w:kern w:val="2"/>
          <w:szCs w:val="20"/>
          <w:lang w:eastAsia="ko-KR"/>
        </w:rPr>
        <w:t xml:space="preserve">In the case of CQI report with </w:t>
      </w:r>
      <w:r w:rsidR="00740D18">
        <w:rPr>
          <w:rFonts w:ascii="Times New Roman" w:eastAsia="맑은 고딕" w:hAnsi="Times New Roman"/>
          <w:kern w:val="2"/>
          <w:szCs w:val="20"/>
          <w:lang w:eastAsia="ko-KR"/>
        </w:rPr>
        <w:t>a</w:t>
      </w:r>
      <w:r w:rsidRPr="004C60EE">
        <w:rPr>
          <w:rFonts w:ascii="Times New Roman" w:eastAsia="맑은 고딕" w:hAnsi="Times New Roman"/>
          <w:kern w:val="2"/>
          <w:szCs w:val="20"/>
          <w:lang w:eastAsia="ko-KR"/>
        </w:rPr>
        <w:t>periodic CQI-RS, UE does not need to classify the interference type, i.e., UE assumes that CQI-IM resources capture DL interference. The serving gNB can determine the validity of the reported CQI report.</w:t>
      </w:r>
    </w:p>
    <w:p w14:paraId="0332DF73" w14:textId="2D1FBF34" w:rsidR="004C60EE" w:rsidRPr="006A6B82" w:rsidRDefault="006A6B82" w:rsidP="006A6B82">
      <w:pPr>
        <w:widowControl w:val="0"/>
        <w:autoSpaceDE w:val="0"/>
        <w:autoSpaceDN w:val="0"/>
        <w:spacing w:after="180" w:line="252" w:lineRule="auto"/>
        <w:ind w:firstLineChars="50" w:firstLine="98"/>
        <w:jc w:val="both"/>
        <w:rPr>
          <w:rFonts w:ascii="Times New Roman" w:eastAsia="맑은 고딕" w:hAnsi="Times New Roman"/>
          <w:b/>
          <w:kern w:val="2"/>
          <w:szCs w:val="20"/>
          <w:lang w:eastAsia="ko-KR"/>
        </w:rPr>
      </w:pPr>
      <w:bookmarkStart w:id="3" w:name="_Ref471734990"/>
      <w:r w:rsidRPr="006A6B82">
        <w:rPr>
          <w:b/>
        </w:rPr>
        <w:t xml:space="preserve">Observation </w:t>
      </w:r>
      <w:r w:rsidRPr="006A6B82">
        <w:rPr>
          <w:b/>
        </w:rPr>
        <w:fldChar w:fldCharType="begin"/>
      </w:r>
      <w:r w:rsidRPr="006A6B82">
        <w:rPr>
          <w:b/>
        </w:rPr>
        <w:instrText xml:space="preserve"> SEQ Observation \* ARABIC </w:instrText>
      </w:r>
      <w:r w:rsidRPr="006A6B82">
        <w:rPr>
          <w:b/>
        </w:rPr>
        <w:fldChar w:fldCharType="separate"/>
      </w:r>
      <w:r w:rsidR="009925A6">
        <w:rPr>
          <w:b/>
          <w:noProof/>
        </w:rPr>
        <w:t>1</w:t>
      </w:r>
      <w:r w:rsidRPr="006A6B82">
        <w:rPr>
          <w:b/>
        </w:rPr>
        <w:fldChar w:fldCharType="end"/>
      </w:r>
      <w:r w:rsidRPr="006A6B82">
        <w:rPr>
          <w:b/>
        </w:rPr>
        <w:t>:</w:t>
      </w:r>
      <w:r w:rsidRPr="006A6B82">
        <w:rPr>
          <w:rFonts w:ascii="Times New Roman" w:eastAsia="맑은 고딕" w:hAnsi="Times New Roman"/>
          <w:b/>
          <w:kern w:val="2"/>
          <w:lang w:eastAsia="ko-KR"/>
        </w:rPr>
        <w:t xml:space="preserve"> </w:t>
      </w:r>
      <w:r w:rsidR="004C60EE" w:rsidRPr="006A6B82">
        <w:rPr>
          <w:rFonts w:ascii="Times New Roman" w:eastAsia="맑은 고딕" w:hAnsi="Times New Roman"/>
          <w:b/>
          <w:kern w:val="2"/>
          <w:szCs w:val="20"/>
          <w:lang w:eastAsia="ko-KR"/>
        </w:rPr>
        <w:t>It is beneficial to monitor slot types of neighbouring gNB to derive the valid CQI report.</w:t>
      </w:r>
      <w:bookmarkEnd w:id="3"/>
    </w:p>
    <w:p w14:paraId="1A57FEBA" w14:textId="613C31EC" w:rsidR="004C60EE" w:rsidRPr="004C60EE" w:rsidRDefault="004C60EE" w:rsidP="004C60EE">
      <w:pPr>
        <w:widowControl w:val="0"/>
        <w:autoSpaceDE w:val="0"/>
        <w:autoSpaceDN w:val="0"/>
        <w:spacing w:after="180" w:line="252" w:lineRule="auto"/>
        <w:ind w:firstLineChars="50" w:firstLine="100"/>
        <w:jc w:val="both"/>
        <w:rPr>
          <w:rFonts w:ascii="Times New Roman" w:eastAsia="맑은 고딕" w:hAnsi="Times New Roman"/>
          <w:kern w:val="2"/>
          <w:szCs w:val="20"/>
          <w:lang w:eastAsia="ko-KR"/>
        </w:rPr>
      </w:pPr>
      <w:r w:rsidRPr="004C60EE">
        <w:rPr>
          <w:rFonts w:ascii="Times New Roman" w:eastAsia="맑은 고딕" w:hAnsi="Times New Roman"/>
          <w:kern w:val="2"/>
          <w:szCs w:val="20"/>
          <w:lang w:eastAsia="ko-KR"/>
        </w:rPr>
        <w:t xml:space="preserve">The second case is to monitor URLLC DL control channel. To meet the latency requirement, UEs configured to URLLC are required to monitor all </w:t>
      </w:r>
      <w:r w:rsidR="007F7DCF">
        <w:rPr>
          <w:rFonts w:ascii="Times New Roman" w:eastAsia="맑은 고딕" w:hAnsi="Times New Roman"/>
          <w:kern w:val="2"/>
          <w:szCs w:val="20"/>
          <w:lang w:eastAsia="ko-KR"/>
        </w:rPr>
        <w:t>valid</w:t>
      </w:r>
      <w:r w:rsidRPr="004C60EE">
        <w:rPr>
          <w:rFonts w:ascii="Times New Roman" w:eastAsia="맑은 고딕" w:hAnsi="Times New Roman"/>
          <w:kern w:val="2"/>
          <w:szCs w:val="20"/>
          <w:lang w:eastAsia="ko-KR"/>
        </w:rPr>
        <w:t xml:space="preserve"> DL control resources. </w:t>
      </w:r>
      <w:r w:rsidR="007F7DCF">
        <w:rPr>
          <w:rFonts w:ascii="Times New Roman" w:eastAsia="맑은 고딕" w:hAnsi="Times New Roman"/>
          <w:kern w:val="2"/>
          <w:szCs w:val="20"/>
          <w:lang w:eastAsia="ko-KR"/>
        </w:rPr>
        <w:t xml:space="preserve">Unlike </w:t>
      </w:r>
      <w:r w:rsidRPr="004C60EE">
        <w:rPr>
          <w:rFonts w:ascii="Times New Roman" w:eastAsia="맑은 고딕" w:hAnsi="Times New Roman"/>
          <w:kern w:val="2"/>
          <w:szCs w:val="20"/>
          <w:lang w:eastAsia="ko-KR"/>
        </w:rPr>
        <w:t xml:space="preserve">the case of FDD and TDD </w:t>
      </w:r>
      <w:r w:rsidR="007F7DCF">
        <w:rPr>
          <w:rFonts w:ascii="Times New Roman" w:eastAsia="맑은 고딕" w:hAnsi="Times New Roman"/>
          <w:kern w:val="2"/>
          <w:szCs w:val="20"/>
          <w:lang w:eastAsia="ko-KR"/>
        </w:rPr>
        <w:t xml:space="preserve">where </w:t>
      </w:r>
      <w:r w:rsidRPr="004C60EE">
        <w:rPr>
          <w:rFonts w:ascii="Times New Roman" w:eastAsia="맑은 고딕" w:hAnsi="Times New Roman"/>
          <w:kern w:val="2"/>
          <w:szCs w:val="20"/>
          <w:lang w:eastAsia="ko-KR"/>
        </w:rPr>
        <w:t>the serving gNB can configure UE-specific DL control channel resource with no ambiguity</w:t>
      </w:r>
      <w:r w:rsidR="007F7DCF">
        <w:rPr>
          <w:rFonts w:ascii="Times New Roman" w:eastAsia="맑은 고딕" w:hAnsi="Times New Roman"/>
          <w:kern w:val="2"/>
          <w:szCs w:val="20"/>
          <w:lang w:eastAsia="ko-KR"/>
        </w:rPr>
        <w:t>,</w:t>
      </w:r>
      <w:r w:rsidRPr="004C60EE">
        <w:rPr>
          <w:rFonts w:ascii="Times New Roman" w:eastAsia="맑은 고딕" w:hAnsi="Times New Roman"/>
          <w:kern w:val="2"/>
          <w:szCs w:val="20"/>
          <w:lang w:eastAsia="ko-KR"/>
        </w:rPr>
        <w:t xml:space="preserve"> in the case of dynamic TDD, the DL control channel resource region as well as DL data channel resource region can vary for each slot. This </w:t>
      </w:r>
      <w:r w:rsidR="00267435">
        <w:rPr>
          <w:rFonts w:ascii="Times New Roman" w:eastAsia="맑은 고딕" w:hAnsi="Times New Roman"/>
          <w:kern w:val="2"/>
          <w:szCs w:val="20"/>
          <w:lang w:eastAsia="ko-KR"/>
        </w:rPr>
        <w:t xml:space="preserve">cell-specific </w:t>
      </w:r>
      <w:r w:rsidRPr="004C60EE">
        <w:rPr>
          <w:rFonts w:ascii="Times New Roman" w:eastAsia="맑은 고딕" w:hAnsi="Times New Roman"/>
          <w:kern w:val="2"/>
          <w:szCs w:val="20"/>
          <w:lang w:eastAsia="ko-KR"/>
        </w:rPr>
        <w:t xml:space="preserve">dynamic adaptation is beneficial to deal with the dynamic variation of traffic intensity. It is desirable to vary the DL resource region to reduce the UL latency of UL URLLC data. </w:t>
      </w:r>
    </w:p>
    <w:p w14:paraId="3CD3EF13" w14:textId="77777777" w:rsidR="004C60EE" w:rsidRPr="004C60EE" w:rsidRDefault="004C60EE" w:rsidP="004C60EE">
      <w:pPr>
        <w:widowControl w:val="0"/>
        <w:autoSpaceDE w:val="0"/>
        <w:autoSpaceDN w:val="0"/>
        <w:spacing w:after="180" w:line="252" w:lineRule="auto"/>
        <w:ind w:firstLineChars="50" w:firstLine="100"/>
        <w:jc w:val="both"/>
        <w:rPr>
          <w:rFonts w:ascii="Times New Roman" w:eastAsia="맑은 고딕" w:hAnsi="Times New Roman"/>
          <w:kern w:val="2"/>
          <w:szCs w:val="20"/>
          <w:lang w:eastAsia="ko-KR"/>
        </w:rPr>
      </w:pPr>
      <w:r w:rsidRPr="004C60EE">
        <w:rPr>
          <w:rFonts w:ascii="Times New Roman" w:eastAsia="맑은 고딕" w:hAnsi="Times New Roman"/>
          <w:kern w:val="2"/>
          <w:szCs w:val="20"/>
          <w:lang w:eastAsia="ko-KR"/>
        </w:rPr>
        <w:t xml:space="preserve">If a UL URLLC traffic is arrived at UE, then UE would request UL scheduling or transmit without grants (whose details depends on RAN1 future decision). The UL latency counts while UE should wait for the fastest UL transmission opportunity. Thus, the serving gNB can minimize the DL resource in the next slot. However, it is not beneficial to set UL-centric slot because possibly DL URLLC may be arrived in the next slot and UL-centric slot will increase DL latency as much as a slot length. Thus, it is recommended to set DL-centric type that has smaller (not minimum) DL resources and larger UL resources in order to have less UL latency and possibly less DL latency. </w:t>
      </w:r>
    </w:p>
    <w:p w14:paraId="50396F26" w14:textId="333D2FDD" w:rsidR="004C60EE" w:rsidRPr="006A6B82" w:rsidRDefault="006A6B82" w:rsidP="006A6B82">
      <w:pPr>
        <w:widowControl w:val="0"/>
        <w:autoSpaceDE w:val="0"/>
        <w:autoSpaceDN w:val="0"/>
        <w:spacing w:after="180" w:line="252" w:lineRule="auto"/>
        <w:ind w:firstLineChars="50" w:firstLine="98"/>
        <w:jc w:val="both"/>
        <w:rPr>
          <w:b/>
        </w:rPr>
      </w:pPr>
      <w:bookmarkStart w:id="4" w:name="_Ref471735000"/>
      <w:r w:rsidRPr="006A6B82">
        <w:rPr>
          <w:b/>
        </w:rPr>
        <w:t xml:space="preserve">Observation </w:t>
      </w:r>
      <w:r w:rsidRPr="006A6B82">
        <w:rPr>
          <w:b/>
        </w:rPr>
        <w:fldChar w:fldCharType="begin"/>
      </w:r>
      <w:r w:rsidRPr="006A6B82">
        <w:rPr>
          <w:b/>
        </w:rPr>
        <w:instrText xml:space="preserve"> SEQ Observation \* ARABIC </w:instrText>
      </w:r>
      <w:r w:rsidRPr="006A6B82">
        <w:rPr>
          <w:b/>
        </w:rPr>
        <w:fldChar w:fldCharType="separate"/>
      </w:r>
      <w:r w:rsidR="009925A6">
        <w:rPr>
          <w:b/>
          <w:noProof/>
        </w:rPr>
        <w:t>2</w:t>
      </w:r>
      <w:r w:rsidRPr="006A6B82">
        <w:rPr>
          <w:b/>
        </w:rPr>
        <w:fldChar w:fldCharType="end"/>
      </w:r>
      <w:r w:rsidR="004C60EE" w:rsidRPr="006A6B82">
        <w:rPr>
          <w:rFonts w:ascii="Times New Roman" w:eastAsia="맑은 고딕" w:hAnsi="Times New Roman"/>
          <w:b/>
          <w:kern w:val="2"/>
          <w:szCs w:val="20"/>
          <w:lang w:eastAsia="ko-KR"/>
        </w:rPr>
        <w:t xml:space="preserve">: To reduce the latency for URLLC, a single slot should have both DL and </w:t>
      </w:r>
      <w:r w:rsidR="004C60EE" w:rsidRPr="006A6B82">
        <w:rPr>
          <w:b/>
        </w:rPr>
        <w:t>UL resources.</w:t>
      </w:r>
      <w:bookmarkEnd w:id="4"/>
    </w:p>
    <w:p w14:paraId="1FAFD642" w14:textId="2DF69F2A" w:rsidR="00EF2A6E" w:rsidRDefault="004C60EE" w:rsidP="006A6B82">
      <w:pPr>
        <w:widowControl w:val="0"/>
        <w:autoSpaceDE w:val="0"/>
        <w:autoSpaceDN w:val="0"/>
        <w:spacing w:after="180" w:line="252" w:lineRule="auto"/>
        <w:ind w:firstLineChars="50" w:firstLine="100"/>
        <w:jc w:val="both"/>
        <w:rPr>
          <w:rFonts w:ascii="Times New Roman" w:eastAsia="맑은 고딕" w:hAnsi="Times New Roman"/>
          <w:kern w:val="2"/>
          <w:szCs w:val="20"/>
          <w:lang w:eastAsia="ko-KR"/>
        </w:rPr>
      </w:pPr>
      <w:r w:rsidRPr="006A6B82">
        <w:t>From above reasoning, we propose that a DL-centric slot should have multiple configuration</w:t>
      </w:r>
      <w:r w:rsidR="00EB2CC4" w:rsidRPr="006A6B82">
        <w:t>s</w:t>
      </w:r>
      <w:r w:rsidRPr="006A6B82">
        <w:t xml:space="preserve"> th</w:t>
      </w:r>
      <w:r w:rsidRPr="006A6B82">
        <w:rPr>
          <w:rFonts w:ascii="Times New Roman" w:eastAsia="맑은 고딕" w:hAnsi="Times New Roman"/>
          <w:kern w:val="2"/>
          <w:szCs w:val="20"/>
          <w:lang w:eastAsia="ko-KR"/>
        </w:rPr>
        <w:t>at</w:t>
      </w:r>
      <w:r w:rsidRPr="004C60EE">
        <w:rPr>
          <w:rFonts w:ascii="Times New Roman" w:eastAsia="맑은 고딕" w:hAnsi="Times New Roman"/>
          <w:kern w:val="2"/>
          <w:szCs w:val="20"/>
          <w:lang w:eastAsia="ko-KR"/>
        </w:rPr>
        <w:t xml:space="preserve"> have different DL resource boundar</w:t>
      </w:r>
      <w:r w:rsidR="00EB2CC4">
        <w:rPr>
          <w:rFonts w:ascii="Times New Roman" w:eastAsia="맑은 고딕" w:hAnsi="Times New Roman"/>
          <w:kern w:val="2"/>
          <w:szCs w:val="20"/>
          <w:lang w:eastAsia="ko-KR"/>
        </w:rPr>
        <w:t>ies</w:t>
      </w:r>
      <w:r w:rsidRPr="004C60EE">
        <w:rPr>
          <w:rFonts w:ascii="Times New Roman" w:eastAsia="맑은 고딕" w:hAnsi="Times New Roman"/>
          <w:kern w:val="2"/>
          <w:szCs w:val="20"/>
          <w:lang w:eastAsia="ko-KR"/>
        </w:rPr>
        <w:t xml:space="preserve">. Therefore, the number of bits to indicate the slot type should be multiple bits. </w:t>
      </w:r>
      <w:r w:rsidR="00EB2CC4">
        <w:rPr>
          <w:rFonts w:ascii="Times New Roman" w:eastAsia="맑은 고딕" w:hAnsi="Times New Roman"/>
          <w:kern w:val="2"/>
          <w:szCs w:val="20"/>
          <w:lang w:eastAsia="ko-KR"/>
        </w:rPr>
        <w:t xml:space="preserve">It is also </w:t>
      </w:r>
      <w:r w:rsidR="00EB2CC4">
        <w:rPr>
          <w:rFonts w:ascii="Times New Roman" w:eastAsia="맑은 고딕" w:hAnsi="Times New Roman"/>
          <w:kern w:val="2"/>
          <w:szCs w:val="20"/>
          <w:lang w:eastAsia="ko-KR"/>
        </w:rPr>
        <w:lastRenderedPageBreak/>
        <w:t xml:space="preserve">noted that slot type indication can reduce battery consumption for URLLC configured UEs. </w:t>
      </w:r>
      <w:r w:rsidR="00EF2A6E">
        <w:rPr>
          <w:rFonts w:ascii="Times New Roman" w:eastAsia="맑은 고딕" w:hAnsi="Times New Roman"/>
          <w:kern w:val="2"/>
          <w:szCs w:val="20"/>
          <w:lang w:eastAsia="ko-KR"/>
        </w:rPr>
        <w:t xml:space="preserve">Without this information, it is required for UEs to monitor all configured short DL control channel occasions, whereas with this information, </w:t>
      </w:r>
      <w:r w:rsidR="00EB2CC4">
        <w:rPr>
          <w:rFonts w:ascii="Times New Roman" w:eastAsia="맑은 고딕" w:hAnsi="Times New Roman"/>
          <w:kern w:val="2"/>
          <w:szCs w:val="20"/>
          <w:lang w:eastAsia="ko-KR"/>
        </w:rPr>
        <w:t>UEs</w:t>
      </w:r>
      <w:r w:rsidR="00EF2A6E">
        <w:rPr>
          <w:rFonts w:ascii="Times New Roman" w:eastAsia="맑은 고딕" w:hAnsi="Times New Roman"/>
          <w:kern w:val="2"/>
          <w:szCs w:val="20"/>
          <w:lang w:eastAsia="ko-KR"/>
        </w:rPr>
        <w:t xml:space="preserve"> can realize the valid short DL control channel occasion within the configured short DL control channel. It would reduce the number of blind decoding for URLLC DL control channel.</w:t>
      </w:r>
    </w:p>
    <w:p w14:paraId="171B7A2F" w14:textId="312B6CEC" w:rsidR="00EF2A6E" w:rsidRPr="006A6B82" w:rsidRDefault="006A6B82" w:rsidP="006A6B82">
      <w:pPr>
        <w:widowControl w:val="0"/>
        <w:autoSpaceDE w:val="0"/>
        <w:autoSpaceDN w:val="0"/>
        <w:spacing w:after="180" w:line="252" w:lineRule="auto"/>
        <w:ind w:firstLineChars="50" w:firstLine="98"/>
        <w:jc w:val="both"/>
        <w:rPr>
          <w:rFonts w:ascii="Times New Roman" w:eastAsia="맑은 고딕" w:hAnsi="Times New Roman"/>
          <w:b/>
          <w:kern w:val="2"/>
          <w:szCs w:val="20"/>
          <w:lang w:eastAsia="ko-KR"/>
        </w:rPr>
      </w:pPr>
      <w:bookmarkStart w:id="5" w:name="_Ref471735006"/>
      <w:r w:rsidRPr="006A6B82">
        <w:rPr>
          <w:b/>
        </w:rPr>
        <w:t xml:space="preserve">Observation </w:t>
      </w:r>
      <w:r w:rsidRPr="006A6B82">
        <w:rPr>
          <w:b/>
        </w:rPr>
        <w:fldChar w:fldCharType="begin"/>
      </w:r>
      <w:r w:rsidRPr="006A6B82">
        <w:rPr>
          <w:b/>
        </w:rPr>
        <w:instrText xml:space="preserve"> SEQ Observation \* ARABIC </w:instrText>
      </w:r>
      <w:r w:rsidRPr="006A6B82">
        <w:rPr>
          <w:b/>
        </w:rPr>
        <w:fldChar w:fldCharType="separate"/>
      </w:r>
      <w:r w:rsidR="009925A6">
        <w:rPr>
          <w:b/>
          <w:noProof/>
        </w:rPr>
        <w:t>3</w:t>
      </w:r>
      <w:r w:rsidRPr="006A6B82">
        <w:rPr>
          <w:b/>
        </w:rPr>
        <w:fldChar w:fldCharType="end"/>
      </w:r>
      <w:r w:rsidR="00EF2A6E" w:rsidRPr="006A6B82">
        <w:rPr>
          <w:rFonts w:ascii="Times New Roman" w:eastAsia="맑은 고딕" w:hAnsi="Times New Roman" w:hint="eastAsia"/>
          <w:b/>
          <w:kern w:val="2"/>
          <w:szCs w:val="20"/>
          <w:lang w:eastAsia="ko-KR"/>
        </w:rPr>
        <w:t>:</w:t>
      </w:r>
      <w:r w:rsidR="00EF2A6E" w:rsidRPr="006A6B82">
        <w:rPr>
          <w:rFonts w:ascii="Times New Roman" w:eastAsia="맑은 고딕" w:hAnsi="Times New Roman"/>
          <w:b/>
          <w:kern w:val="2"/>
          <w:szCs w:val="20"/>
          <w:lang w:eastAsia="ko-KR"/>
        </w:rPr>
        <w:t xml:space="preserve"> It is beneficial to have multiple bits for slot type indication.</w:t>
      </w:r>
      <w:bookmarkEnd w:id="5"/>
    </w:p>
    <w:p w14:paraId="241D4AA8" w14:textId="71969C42" w:rsidR="004C60EE" w:rsidRPr="004C60EE" w:rsidRDefault="004C60EE" w:rsidP="004C60EE">
      <w:pPr>
        <w:widowControl w:val="0"/>
        <w:autoSpaceDE w:val="0"/>
        <w:autoSpaceDN w:val="0"/>
        <w:spacing w:after="180" w:line="252" w:lineRule="auto"/>
        <w:ind w:firstLineChars="50" w:firstLine="100"/>
        <w:jc w:val="both"/>
        <w:rPr>
          <w:rFonts w:ascii="Times New Roman" w:eastAsia="맑은 고딕" w:hAnsi="Times New Roman"/>
          <w:kern w:val="2"/>
          <w:szCs w:val="20"/>
          <w:lang w:eastAsia="ko-KR"/>
        </w:rPr>
      </w:pPr>
      <w:r w:rsidRPr="004C60EE">
        <w:rPr>
          <w:rFonts w:ascii="Times New Roman" w:eastAsia="맑은 고딕" w:hAnsi="Times New Roman"/>
          <w:kern w:val="2"/>
          <w:szCs w:val="20"/>
          <w:lang w:eastAsia="ko-KR"/>
        </w:rPr>
        <w:t xml:space="preserve">The </w:t>
      </w:r>
      <w:r w:rsidR="00EF2A6E">
        <w:rPr>
          <w:rFonts w:ascii="Times New Roman" w:eastAsia="맑은 고딕" w:hAnsi="Times New Roman"/>
          <w:kern w:val="2"/>
          <w:szCs w:val="20"/>
          <w:lang w:eastAsia="ko-KR"/>
        </w:rPr>
        <w:t>third</w:t>
      </w:r>
      <w:r w:rsidRPr="004C60EE">
        <w:rPr>
          <w:rFonts w:ascii="Times New Roman" w:eastAsia="맑은 고딕" w:hAnsi="Times New Roman"/>
          <w:kern w:val="2"/>
          <w:szCs w:val="20"/>
          <w:lang w:eastAsia="ko-KR"/>
        </w:rPr>
        <w:t xml:space="preserve"> case is for RRM measurements. Just as LTE system allows idle UEs to measure RSRQ, it is possible to let idle UEs to measure RSRQ-like metric in the NR. If introduced, it can support inter-RAT handover based on RSRQ, </w:t>
      </w:r>
      <w:r w:rsidR="00EF2A6E">
        <w:rPr>
          <w:rFonts w:ascii="Times New Roman" w:eastAsia="맑은 고딕" w:hAnsi="Times New Roman"/>
          <w:kern w:val="2"/>
          <w:szCs w:val="20"/>
          <w:lang w:eastAsia="ko-KR"/>
        </w:rPr>
        <w:t>which</w:t>
      </w:r>
      <w:r w:rsidRPr="004C60EE">
        <w:rPr>
          <w:rFonts w:ascii="Times New Roman" w:eastAsia="맑은 고딕" w:hAnsi="Times New Roman"/>
          <w:kern w:val="2"/>
          <w:szCs w:val="20"/>
          <w:lang w:eastAsia="ko-KR"/>
        </w:rPr>
        <w:t xml:space="preserve"> will be a function of RSRP-like metric and RSSI-like metric. The RSRP-like metric is clear to define but the RSSI-like metric can be arguable</w:t>
      </w:r>
      <w:r w:rsidR="0091739E">
        <w:rPr>
          <w:rFonts w:ascii="Times New Roman" w:eastAsia="맑은 고딕" w:hAnsi="Times New Roman"/>
          <w:kern w:val="2"/>
          <w:szCs w:val="20"/>
          <w:lang w:eastAsia="ko-KR"/>
        </w:rPr>
        <w:t xml:space="preserve"> in the dynamic TDD</w:t>
      </w:r>
      <w:r w:rsidRPr="004C60EE">
        <w:rPr>
          <w:rFonts w:ascii="Times New Roman" w:eastAsia="맑은 고딕" w:hAnsi="Times New Roman"/>
          <w:kern w:val="2"/>
          <w:szCs w:val="20"/>
          <w:lang w:eastAsia="ko-KR"/>
        </w:rPr>
        <w:t xml:space="preserve">. </w:t>
      </w:r>
    </w:p>
    <w:p w14:paraId="12C5D04C" w14:textId="76A4E1F0" w:rsidR="004C60EE" w:rsidRPr="004C60EE" w:rsidRDefault="004C60EE" w:rsidP="004C60EE">
      <w:pPr>
        <w:widowControl w:val="0"/>
        <w:autoSpaceDE w:val="0"/>
        <w:autoSpaceDN w:val="0"/>
        <w:spacing w:after="180" w:line="252" w:lineRule="auto"/>
        <w:ind w:firstLineChars="50" w:firstLine="100"/>
        <w:jc w:val="both"/>
        <w:rPr>
          <w:rFonts w:ascii="Times New Roman" w:eastAsia="맑은 고딕" w:hAnsi="Times New Roman"/>
          <w:kern w:val="2"/>
          <w:szCs w:val="20"/>
          <w:lang w:eastAsia="ko-KR"/>
        </w:rPr>
      </w:pPr>
      <w:r w:rsidRPr="004C60EE">
        <w:rPr>
          <w:rFonts w:ascii="Times New Roman" w:eastAsia="맑은 고딕" w:hAnsi="Times New Roman"/>
          <w:kern w:val="2"/>
          <w:szCs w:val="20"/>
          <w:lang w:eastAsia="ko-KR"/>
        </w:rPr>
        <w:t xml:space="preserve">In the case of dynamic TDD, each slot has a variable length of the DL region. </w:t>
      </w:r>
      <w:r w:rsidR="004F2726">
        <w:rPr>
          <w:rFonts w:ascii="Times New Roman" w:eastAsia="맑은 고딕" w:hAnsi="Times New Roman"/>
          <w:kern w:val="2"/>
          <w:szCs w:val="20"/>
          <w:lang w:eastAsia="ko-KR"/>
        </w:rPr>
        <w:t>Mini-</w:t>
      </w:r>
      <w:r w:rsidRPr="004C60EE">
        <w:rPr>
          <w:rFonts w:ascii="Times New Roman" w:eastAsia="맑은 고딕" w:hAnsi="Times New Roman"/>
          <w:kern w:val="2"/>
          <w:szCs w:val="20"/>
          <w:lang w:eastAsia="ko-KR"/>
        </w:rPr>
        <w:t xml:space="preserve">slot allocation is configured when URLLC is configured. DL URLLC and UL URLLC can be scheduled any possible </w:t>
      </w:r>
      <w:r w:rsidR="004F2726">
        <w:rPr>
          <w:rFonts w:ascii="Times New Roman" w:eastAsia="맑은 고딕" w:hAnsi="Times New Roman"/>
          <w:kern w:val="2"/>
          <w:szCs w:val="20"/>
          <w:lang w:eastAsia="ko-KR"/>
        </w:rPr>
        <w:t>mini-</w:t>
      </w:r>
      <w:r w:rsidRPr="004C60EE">
        <w:rPr>
          <w:rFonts w:ascii="Times New Roman" w:eastAsia="맑은 고딕" w:hAnsi="Times New Roman"/>
          <w:kern w:val="2"/>
          <w:szCs w:val="20"/>
          <w:lang w:eastAsia="ko-KR"/>
        </w:rPr>
        <w:t xml:space="preserve">slot(s) via (short) DL control channel. The RSSI-like metric should capture DL resources only, but the slot type varies over each slot that has RRS resources. UEs configured to monitor short DL control channel can estimate the DL resource boundary, but other UEs such as eMBB UEs or idle UEs may not have ways to obtain a certain DL resource. Thus, we can define RSSI-like metric relies only on the fixed DL resources, however it is required to relax the RSRQ-like measurement accuracy requirements. It is because the dynamic TDD would minimize the length of fixed DL resources </w:t>
      </w:r>
      <w:r w:rsidR="002C5CE2">
        <w:rPr>
          <w:rFonts w:ascii="Times New Roman" w:eastAsia="맑은 고딕" w:hAnsi="Times New Roman"/>
          <w:kern w:val="2"/>
          <w:szCs w:val="20"/>
          <w:lang w:eastAsia="ko-KR"/>
        </w:rPr>
        <w:t xml:space="preserve">to avoid the duplex ambiguity </w:t>
      </w:r>
      <w:r w:rsidRPr="004C60EE">
        <w:rPr>
          <w:rFonts w:ascii="Times New Roman" w:eastAsia="맑은 고딕" w:hAnsi="Times New Roman"/>
          <w:kern w:val="2"/>
          <w:szCs w:val="20"/>
          <w:lang w:eastAsia="ko-KR"/>
        </w:rPr>
        <w:t xml:space="preserve">and the measurement accuracy depends on the observed amount of fixed DL resources. </w:t>
      </w:r>
      <w:r w:rsidR="00015E69">
        <w:rPr>
          <w:rFonts w:ascii="Times New Roman" w:eastAsia="맑은 고딕" w:hAnsi="Times New Roman"/>
          <w:kern w:val="2"/>
          <w:szCs w:val="20"/>
          <w:lang w:eastAsia="ko-KR"/>
        </w:rPr>
        <w:t>Furthermore</w:t>
      </w:r>
      <w:r w:rsidRPr="004C60EE">
        <w:rPr>
          <w:rFonts w:ascii="Times New Roman" w:eastAsia="맑은 고딕" w:hAnsi="Times New Roman"/>
          <w:kern w:val="2"/>
          <w:szCs w:val="20"/>
          <w:lang w:eastAsia="ko-KR"/>
        </w:rPr>
        <w:t xml:space="preserve">, the number of carriers become larger in NR than in LTE, and the monitoring should be </w:t>
      </w:r>
      <w:r w:rsidR="00015E69">
        <w:rPr>
          <w:rFonts w:ascii="Times New Roman" w:eastAsia="맑은 고딕" w:hAnsi="Times New Roman"/>
          <w:kern w:val="2"/>
          <w:szCs w:val="20"/>
          <w:lang w:eastAsia="ko-KR"/>
        </w:rPr>
        <w:t>fast</w:t>
      </w:r>
      <w:r w:rsidRPr="004C60EE">
        <w:rPr>
          <w:rFonts w:ascii="Times New Roman" w:eastAsia="맑은 고딕" w:hAnsi="Times New Roman"/>
          <w:kern w:val="2"/>
          <w:szCs w:val="20"/>
          <w:lang w:eastAsia="ko-KR"/>
        </w:rPr>
        <w:t xml:space="preserve"> enough. In addition to idle UEs, connected UEs configured to the measurement gap would also require a fast measurement RSSI-like metric. One of approach is to exploit the DL data region as much as possible for </w:t>
      </w:r>
      <w:r w:rsidR="00015E69">
        <w:rPr>
          <w:rFonts w:ascii="Times New Roman" w:eastAsia="맑은 고딕" w:hAnsi="Times New Roman"/>
          <w:kern w:val="2"/>
          <w:szCs w:val="20"/>
          <w:lang w:eastAsia="ko-KR"/>
        </w:rPr>
        <w:t xml:space="preserve">measuring </w:t>
      </w:r>
      <w:r w:rsidRPr="004C60EE">
        <w:rPr>
          <w:rFonts w:ascii="Times New Roman" w:eastAsia="맑은 고딕" w:hAnsi="Times New Roman"/>
          <w:kern w:val="2"/>
          <w:szCs w:val="20"/>
          <w:lang w:eastAsia="ko-KR"/>
        </w:rPr>
        <w:t xml:space="preserve">RSSI-like metric. The serving gNB can broadcast the slot type </w:t>
      </w:r>
      <w:r w:rsidR="00015E69">
        <w:rPr>
          <w:rFonts w:ascii="Times New Roman" w:eastAsia="맑은 고딕" w:hAnsi="Times New Roman"/>
          <w:kern w:val="2"/>
          <w:szCs w:val="20"/>
          <w:lang w:eastAsia="ko-KR"/>
        </w:rPr>
        <w:t xml:space="preserve">at least </w:t>
      </w:r>
      <w:r w:rsidRPr="004C60EE">
        <w:rPr>
          <w:rFonts w:ascii="Times New Roman" w:eastAsia="맑은 고딕" w:hAnsi="Times New Roman"/>
          <w:kern w:val="2"/>
          <w:szCs w:val="20"/>
          <w:lang w:eastAsia="ko-KR"/>
        </w:rPr>
        <w:t xml:space="preserve">when </w:t>
      </w:r>
      <w:r w:rsidR="00015E69">
        <w:rPr>
          <w:rFonts w:ascii="Times New Roman" w:eastAsia="맑은 고딕" w:hAnsi="Times New Roman"/>
          <w:kern w:val="2"/>
          <w:szCs w:val="20"/>
          <w:lang w:eastAsia="ko-KR"/>
        </w:rPr>
        <w:t xml:space="preserve">RRM </w:t>
      </w:r>
      <w:r w:rsidRPr="004C60EE">
        <w:rPr>
          <w:rFonts w:ascii="Times New Roman" w:eastAsia="맑은 고딕" w:hAnsi="Times New Roman"/>
          <w:kern w:val="2"/>
          <w:szCs w:val="20"/>
          <w:lang w:eastAsia="ko-KR"/>
        </w:rPr>
        <w:t xml:space="preserve">RS resource is transmitted. </w:t>
      </w:r>
    </w:p>
    <w:p w14:paraId="2044975A" w14:textId="563886B1" w:rsidR="006A6B82" w:rsidRPr="006A6B82" w:rsidRDefault="006A6B82" w:rsidP="006A6B82">
      <w:pPr>
        <w:widowControl w:val="0"/>
        <w:autoSpaceDE w:val="0"/>
        <w:autoSpaceDN w:val="0"/>
        <w:spacing w:after="180" w:line="252" w:lineRule="auto"/>
        <w:ind w:firstLineChars="50" w:firstLine="98"/>
        <w:jc w:val="both"/>
        <w:rPr>
          <w:rFonts w:ascii="Times New Roman" w:eastAsia="맑은 고딕" w:hAnsi="Times New Roman"/>
          <w:b/>
          <w:kern w:val="2"/>
          <w:szCs w:val="20"/>
          <w:lang w:eastAsia="ko-KR"/>
        </w:rPr>
      </w:pPr>
      <w:bookmarkStart w:id="6" w:name="_Ref471735010"/>
      <w:r w:rsidRPr="006A6B82">
        <w:rPr>
          <w:b/>
        </w:rPr>
        <w:t xml:space="preserve">Observation </w:t>
      </w:r>
      <w:r w:rsidRPr="006A6B82">
        <w:rPr>
          <w:b/>
        </w:rPr>
        <w:fldChar w:fldCharType="begin"/>
      </w:r>
      <w:r w:rsidRPr="006A6B82">
        <w:rPr>
          <w:b/>
        </w:rPr>
        <w:instrText xml:space="preserve"> SEQ Observation \* ARABIC </w:instrText>
      </w:r>
      <w:r w:rsidRPr="006A6B82">
        <w:rPr>
          <w:b/>
        </w:rPr>
        <w:fldChar w:fldCharType="separate"/>
      </w:r>
      <w:r w:rsidR="009925A6">
        <w:rPr>
          <w:b/>
          <w:noProof/>
        </w:rPr>
        <w:t>4</w:t>
      </w:r>
      <w:r w:rsidRPr="006A6B82">
        <w:rPr>
          <w:b/>
        </w:rPr>
        <w:fldChar w:fldCharType="end"/>
      </w:r>
      <w:r w:rsidRPr="006A6B82">
        <w:rPr>
          <w:rFonts w:ascii="Times New Roman" w:eastAsia="맑은 고딕" w:hAnsi="Times New Roman"/>
          <w:b/>
          <w:kern w:val="2"/>
          <w:szCs w:val="20"/>
          <w:lang w:eastAsia="ko-KR"/>
        </w:rPr>
        <w:t>: It is beneficial for both idle and connected UEs to monitor slot types of a gNB to accelerate deriving the RSRQ-like metric.</w:t>
      </w:r>
      <w:bookmarkEnd w:id="6"/>
    </w:p>
    <w:p w14:paraId="0D27EB4D" w14:textId="4F33F7C5" w:rsidR="004E5BE6" w:rsidRPr="006A6B82" w:rsidRDefault="00015E69" w:rsidP="006A6B82">
      <w:pPr>
        <w:widowControl w:val="0"/>
        <w:autoSpaceDE w:val="0"/>
        <w:autoSpaceDN w:val="0"/>
        <w:spacing w:after="180" w:line="252" w:lineRule="auto"/>
        <w:ind w:firstLineChars="50" w:firstLine="100"/>
        <w:jc w:val="both"/>
        <w:rPr>
          <w:rFonts w:ascii="Times New Roman" w:eastAsia="맑은 고딕" w:hAnsi="Times New Roman"/>
          <w:b/>
          <w:kern w:val="2"/>
          <w:szCs w:val="20"/>
          <w:lang w:eastAsia="ko-KR"/>
        </w:rPr>
      </w:pPr>
      <w:r>
        <w:rPr>
          <w:rFonts w:ascii="Times New Roman" w:eastAsia="맑은 고딕" w:hAnsi="Times New Roman"/>
          <w:kern w:val="2"/>
          <w:szCs w:val="20"/>
          <w:lang w:eastAsia="ko-KR"/>
        </w:rPr>
        <w:t>B</w:t>
      </w:r>
      <w:r>
        <w:rPr>
          <w:rFonts w:ascii="Times New Roman" w:eastAsia="맑은 고딕" w:hAnsi="Times New Roman" w:hint="eastAsia"/>
          <w:kern w:val="2"/>
          <w:szCs w:val="20"/>
          <w:lang w:eastAsia="ko-KR"/>
        </w:rPr>
        <w:t xml:space="preserve">ased </w:t>
      </w:r>
      <w:r>
        <w:rPr>
          <w:rFonts w:ascii="Times New Roman" w:eastAsia="맑은 고딕" w:hAnsi="Times New Roman"/>
          <w:kern w:val="2"/>
          <w:szCs w:val="20"/>
          <w:lang w:eastAsia="ko-KR"/>
        </w:rPr>
        <w:t xml:space="preserve">on above observations, </w:t>
      </w:r>
      <w:r w:rsidR="00EC45C5">
        <w:rPr>
          <w:rFonts w:ascii="Times New Roman" w:eastAsia="맑은 고딕" w:hAnsi="Times New Roman"/>
          <w:kern w:val="2"/>
          <w:szCs w:val="20"/>
          <w:lang w:eastAsia="ko-KR"/>
        </w:rPr>
        <w:t xml:space="preserve">we can derive the transmission resources of PSTICH. From CQI use case and URLLC scenario, the periodicity should be </w:t>
      </w:r>
      <w:r w:rsidR="001D3A44">
        <w:rPr>
          <w:rFonts w:ascii="Times New Roman" w:eastAsia="맑은 고딕" w:hAnsi="Times New Roman"/>
          <w:kern w:val="2"/>
          <w:szCs w:val="20"/>
          <w:lang w:eastAsia="ko-KR"/>
        </w:rPr>
        <w:t xml:space="preserve">one </w:t>
      </w:r>
      <w:r w:rsidR="00EC45C5">
        <w:rPr>
          <w:rFonts w:ascii="Times New Roman" w:eastAsia="맑은 고딕" w:hAnsi="Times New Roman"/>
          <w:kern w:val="2"/>
          <w:szCs w:val="20"/>
          <w:lang w:eastAsia="ko-KR"/>
        </w:rPr>
        <w:t>slot</w:t>
      </w:r>
      <w:r w:rsidR="001D3A44">
        <w:rPr>
          <w:rFonts w:ascii="Times New Roman" w:eastAsia="맑은 고딕" w:hAnsi="Times New Roman"/>
          <w:kern w:val="2"/>
          <w:szCs w:val="20"/>
          <w:lang w:eastAsia="ko-KR"/>
        </w:rPr>
        <w:t xml:space="preserve"> length (y)</w:t>
      </w:r>
      <w:r w:rsidR="00EC45C5">
        <w:rPr>
          <w:rFonts w:ascii="Times New Roman" w:eastAsia="맑은 고딕" w:hAnsi="Times New Roman"/>
          <w:kern w:val="2"/>
          <w:szCs w:val="20"/>
          <w:lang w:eastAsia="ko-KR"/>
        </w:rPr>
        <w:t>.</w:t>
      </w:r>
      <w:r w:rsidR="001D3A44">
        <w:rPr>
          <w:rFonts w:ascii="Times New Roman" w:eastAsia="맑은 고딕" w:hAnsi="Times New Roman"/>
          <w:kern w:val="2"/>
          <w:szCs w:val="20"/>
          <w:lang w:eastAsia="ko-KR"/>
        </w:rPr>
        <w:t xml:space="preserve"> For RRM measurements, the RRM RS subframe should include PSTICH. </w:t>
      </w:r>
      <w:r w:rsidR="001C28D8">
        <w:rPr>
          <w:rFonts w:ascii="Times New Roman" w:eastAsia="맑은 고딕" w:hAnsi="Times New Roman"/>
          <w:kern w:val="2"/>
          <w:szCs w:val="20"/>
          <w:lang w:eastAsia="ko-KR"/>
        </w:rPr>
        <w:t>Thus, the PSTICH is transmitted at every slot. For RRM measurements, e</w:t>
      </w:r>
      <w:r w:rsidR="001D3A44">
        <w:rPr>
          <w:rFonts w:ascii="Times New Roman" w:eastAsia="맑은 고딕" w:hAnsi="Times New Roman"/>
          <w:kern w:val="2"/>
          <w:szCs w:val="20"/>
          <w:lang w:eastAsia="ko-KR"/>
        </w:rPr>
        <w:t xml:space="preserve">ven idle UEs should be able to decode the PSTICH, which means that </w:t>
      </w:r>
      <w:r w:rsidR="001C28D8">
        <w:rPr>
          <w:rFonts w:ascii="Times New Roman" w:eastAsia="맑은 고딕" w:hAnsi="Times New Roman"/>
          <w:kern w:val="2"/>
          <w:szCs w:val="20"/>
          <w:lang w:eastAsia="ko-KR"/>
        </w:rPr>
        <w:t>the slot type information is cell</w:t>
      </w:r>
      <w:r w:rsidR="004E5BE6">
        <w:rPr>
          <w:rFonts w:ascii="Times New Roman" w:eastAsia="맑은 고딕" w:hAnsi="Times New Roman"/>
          <w:kern w:val="2"/>
          <w:szCs w:val="20"/>
          <w:lang w:eastAsia="ko-KR"/>
        </w:rPr>
        <w:t>-specific but the blind decoding of DL control resources is not involved. In other words, an independent PSTICH is transmitted for idle UEs.</w:t>
      </w:r>
    </w:p>
    <w:p w14:paraId="7743F69A" w14:textId="69DB475C" w:rsidR="007978F8" w:rsidRPr="006A6B82" w:rsidRDefault="006A6B82" w:rsidP="006A6B82">
      <w:pPr>
        <w:widowControl w:val="0"/>
        <w:autoSpaceDE w:val="0"/>
        <w:autoSpaceDN w:val="0"/>
        <w:spacing w:after="180" w:line="252" w:lineRule="auto"/>
        <w:ind w:firstLineChars="50" w:firstLine="100"/>
        <w:jc w:val="both"/>
        <w:rPr>
          <w:rFonts w:ascii="Times New Roman" w:eastAsia="맑은 고딕" w:hAnsi="Times New Roman"/>
          <w:b/>
          <w:kern w:val="2"/>
          <w:szCs w:val="20"/>
          <w:lang w:eastAsia="ko-KR"/>
        </w:rPr>
      </w:pPr>
      <w:bookmarkStart w:id="7" w:name="_Ref471735037"/>
      <w:r w:rsidRPr="006A6B82">
        <w:rPr>
          <w:rFonts w:ascii="Times New Roman" w:eastAsia="맑은 고딕" w:hAnsi="Times New Roman"/>
          <w:b/>
          <w:kern w:val="2"/>
          <w:szCs w:val="20"/>
          <w:lang w:eastAsia="ko-KR"/>
        </w:rPr>
        <w:t xml:space="preserve">Proposal </w:t>
      </w:r>
      <w:r w:rsidRPr="006A6B82">
        <w:rPr>
          <w:rFonts w:ascii="Times New Roman" w:eastAsia="맑은 고딕" w:hAnsi="Times New Roman"/>
          <w:b/>
          <w:kern w:val="2"/>
          <w:szCs w:val="20"/>
          <w:lang w:eastAsia="ko-KR"/>
        </w:rPr>
        <w:fldChar w:fldCharType="begin"/>
      </w:r>
      <w:r w:rsidRPr="006A6B82">
        <w:rPr>
          <w:rFonts w:ascii="Times New Roman" w:eastAsia="맑은 고딕" w:hAnsi="Times New Roman"/>
          <w:b/>
          <w:kern w:val="2"/>
          <w:szCs w:val="20"/>
          <w:lang w:eastAsia="ko-KR"/>
        </w:rPr>
        <w:instrText xml:space="preserve"> SEQ Proposal \* ARABIC </w:instrText>
      </w:r>
      <w:r w:rsidRPr="006A6B82">
        <w:rPr>
          <w:rFonts w:ascii="Times New Roman" w:eastAsia="맑은 고딕" w:hAnsi="Times New Roman"/>
          <w:b/>
          <w:kern w:val="2"/>
          <w:szCs w:val="20"/>
          <w:lang w:eastAsia="ko-KR"/>
        </w:rPr>
        <w:fldChar w:fldCharType="separate"/>
      </w:r>
      <w:r w:rsidR="009925A6">
        <w:rPr>
          <w:rFonts w:ascii="Times New Roman" w:eastAsia="맑은 고딕" w:hAnsi="Times New Roman"/>
          <w:b/>
          <w:noProof/>
          <w:kern w:val="2"/>
          <w:szCs w:val="20"/>
          <w:lang w:eastAsia="ko-KR"/>
        </w:rPr>
        <w:t>1</w:t>
      </w:r>
      <w:r w:rsidRPr="006A6B82">
        <w:rPr>
          <w:rFonts w:ascii="Times New Roman" w:eastAsia="맑은 고딕" w:hAnsi="Times New Roman"/>
          <w:b/>
          <w:kern w:val="2"/>
          <w:szCs w:val="20"/>
          <w:lang w:eastAsia="ko-KR"/>
        </w:rPr>
        <w:fldChar w:fldCharType="end"/>
      </w:r>
      <w:r w:rsidR="007978F8" w:rsidRPr="006A6B82">
        <w:rPr>
          <w:rFonts w:ascii="Times New Roman" w:eastAsia="맑은 고딕" w:hAnsi="Times New Roman"/>
          <w:b/>
          <w:kern w:val="2"/>
          <w:szCs w:val="20"/>
          <w:lang w:eastAsia="ko-KR"/>
        </w:rPr>
        <w:t>:</w:t>
      </w:r>
      <w:r w:rsidRPr="006A6B82">
        <w:rPr>
          <w:rFonts w:ascii="Times New Roman" w:eastAsia="맑은 고딕" w:hAnsi="Times New Roman"/>
          <w:b/>
          <w:kern w:val="2"/>
          <w:szCs w:val="20"/>
          <w:lang w:eastAsia="ko-KR"/>
        </w:rPr>
        <w:t xml:space="preserve"> </w:t>
      </w:r>
      <w:r w:rsidR="007978F8" w:rsidRPr="006A6B82">
        <w:rPr>
          <w:rFonts w:ascii="Times New Roman" w:eastAsia="맑은 고딕" w:hAnsi="Times New Roman"/>
          <w:b/>
          <w:kern w:val="2"/>
          <w:szCs w:val="20"/>
          <w:lang w:eastAsia="ko-KR"/>
        </w:rPr>
        <w:t>PSTICH is transmitted cell-specifically at every slot.</w:t>
      </w:r>
      <w:bookmarkEnd w:id="7"/>
    </w:p>
    <w:p w14:paraId="05587406" w14:textId="6368F410" w:rsidR="007978F8" w:rsidRPr="006A6B82" w:rsidRDefault="006A6B82" w:rsidP="006A6B82">
      <w:pPr>
        <w:widowControl w:val="0"/>
        <w:autoSpaceDE w:val="0"/>
        <w:autoSpaceDN w:val="0"/>
        <w:spacing w:after="180" w:line="252" w:lineRule="auto"/>
        <w:ind w:firstLineChars="50" w:firstLine="100"/>
        <w:jc w:val="both"/>
        <w:rPr>
          <w:rFonts w:ascii="Times New Roman" w:eastAsia="맑은 고딕" w:hAnsi="Times New Roman"/>
          <w:b/>
          <w:kern w:val="2"/>
          <w:szCs w:val="20"/>
          <w:lang w:eastAsia="ko-KR"/>
        </w:rPr>
      </w:pPr>
      <w:bookmarkStart w:id="8" w:name="_Ref471735046"/>
      <w:r w:rsidRPr="006A6B82">
        <w:rPr>
          <w:rFonts w:ascii="Times New Roman" w:eastAsia="맑은 고딕" w:hAnsi="Times New Roman"/>
          <w:b/>
          <w:kern w:val="2"/>
          <w:szCs w:val="20"/>
          <w:lang w:eastAsia="ko-KR"/>
        </w:rPr>
        <w:t xml:space="preserve">Proposal </w:t>
      </w:r>
      <w:r w:rsidRPr="006A6B82">
        <w:rPr>
          <w:rFonts w:ascii="Times New Roman" w:eastAsia="맑은 고딕" w:hAnsi="Times New Roman"/>
          <w:b/>
          <w:kern w:val="2"/>
          <w:szCs w:val="20"/>
          <w:lang w:eastAsia="ko-KR"/>
        </w:rPr>
        <w:fldChar w:fldCharType="begin"/>
      </w:r>
      <w:r w:rsidRPr="006A6B82">
        <w:rPr>
          <w:rFonts w:ascii="Times New Roman" w:eastAsia="맑은 고딕" w:hAnsi="Times New Roman"/>
          <w:b/>
          <w:kern w:val="2"/>
          <w:szCs w:val="20"/>
          <w:lang w:eastAsia="ko-KR"/>
        </w:rPr>
        <w:instrText xml:space="preserve"> SEQ Proposal \* ARABIC </w:instrText>
      </w:r>
      <w:r w:rsidRPr="006A6B82">
        <w:rPr>
          <w:rFonts w:ascii="Times New Roman" w:eastAsia="맑은 고딕" w:hAnsi="Times New Roman"/>
          <w:b/>
          <w:kern w:val="2"/>
          <w:szCs w:val="20"/>
          <w:lang w:eastAsia="ko-KR"/>
        </w:rPr>
        <w:fldChar w:fldCharType="separate"/>
      </w:r>
      <w:r w:rsidR="009925A6">
        <w:rPr>
          <w:rFonts w:ascii="Times New Roman" w:eastAsia="맑은 고딕" w:hAnsi="Times New Roman"/>
          <w:b/>
          <w:noProof/>
          <w:kern w:val="2"/>
          <w:szCs w:val="20"/>
          <w:lang w:eastAsia="ko-KR"/>
        </w:rPr>
        <w:t>2</w:t>
      </w:r>
      <w:r w:rsidRPr="006A6B82">
        <w:rPr>
          <w:rFonts w:ascii="Times New Roman" w:eastAsia="맑은 고딕" w:hAnsi="Times New Roman"/>
          <w:b/>
          <w:kern w:val="2"/>
          <w:szCs w:val="20"/>
          <w:lang w:eastAsia="ko-KR"/>
        </w:rPr>
        <w:fldChar w:fldCharType="end"/>
      </w:r>
      <w:r w:rsidRPr="006A6B82">
        <w:rPr>
          <w:rFonts w:ascii="Times New Roman" w:eastAsia="맑은 고딕" w:hAnsi="Times New Roman"/>
          <w:b/>
          <w:kern w:val="2"/>
          <w:szCs w:val="20"/>
          <w:lang w:eastAsia="ko-KR"/>
        </w:rPr>
        <w:t xml:space="preserve">: </w:t>
      </w:r>
      <w:r w:rsidR="007978F8" w:rsidRPr="006A6B82">
        <w:rPr>
          <w:rFonts w:ascii="Times New Roman" w:eastAsia="맑은 고딕" w:hAnsi="Times New Roman"/>
          <w:b/>
          <w:kern w:val="2"/>
          <w:szCs w:val="20"/>
          <w:lang w:eastAsia="ko-KR"/>
        </w:rPr>
        <w:t>PSTICH can indicate one of multiple configurations among DL-centric slot type.</w:t>
      </w:r>
      <w:bookmarkEnd w:id="8"/>
    </w:p>
    <w:p w14:paraId="17B52F17" w14:textId="1E185B0F" w:rsidR="004E5BE6" w:rsidRDefault="004E5BE6" w:rsidP="006A6B82">
      <w:pPr>
        <w:widowControl w:val="0"/>
        <w:autoSpaceDE w:val="0"/>
        <w:autoSpaceDN w:val="0"/>
        <w:spacing w:after="180" w:line="252" w:lineRule="auto"/>
        <w:ind w:firstLineChars="50" w:firstLine="100"/>
        <w:jc w:val="both"/>
        <w:rPr>
          <w:rFonts w:ascii="Times New Roman" w:eastAsia="맑은 고딕" w:hAnsi="Times New Roman"/>
          <w:kern w:val="2"/>
          <w:szCs w:val="20"/>
          <w:lang w:eastAsia="ko-KR"/>
        </w:rPr>
      </w:pPr>
      <w:r w:rsidRPr="006A6B82">
        <w:rPr>
          <w:rFonts w:ascii="Times New Roman" w:eastAsia="맑은 고딕" w:hAnsi="Times New Roman"/>
          <w:kern w:val="2"/>
          <w:szCs w:val="20"/>
          <w:lang w:eastAsia="ko-KR"/>
        </w:rPr>
        <w:t>The transmission bandwidth of PSTICH can be large to achieve the frequency diversity, but forward compatibility a</w:t>
      </w:r>
      <w:r>
        <w:rPr>
          <w:rFonts w:ascii="Times New Roman" w:eastAsia="맑은 고딕" w:hAnsi="Times New Roman"/>
          <w:kern w:val="2"/>
          <w:szCs w:val="20"/>
          <w:lang w:eastAsia="ko-KR"/>
        </w:rPr>
        <w:t>nd to reduce the UE battery consumption, narrower bandwidth of PSTICH is desirable. I</w:t>
      </w:r>
      <w:r w:rsidR="007978F8">
        <w:rPr>
          <w:rFonts w:ascii="Times New Roman" w:eastAsia="맑은 고딕" w:hAnsi="Times New Roman"/>
          <w:kern w:val="2"/>
          <w:szCs w:val="20"/>
          <w:lang w:eastAsia="ko-KR"/>
        </w:rPr>
        <w:t>t needs study to determine the appropriate bandwidth.</w:t>
      </w:r>
    </w:p>
    <w:bookmarkEnd w:id="1"/>
    <w:bookmarkEnd w:id="2"/>
    <w:p w14:paraId="537C8C02" w14:textId="77777777" w:rsidR="00DC2E02" w:rsidRPr="00013814" w:rsidRDefault="00DC2E02" w:rsidP="00D90D23">
      <w:pPr>
        <w:pStyle w:val="1"/>
        <w:numPr>
          <w:ilvl w:val="0"/>
          <w:numId w:val="1"/>
        </w:numPr>
      </w:pPr>
      <w:r>
        <w:rPr>
          <w:rFonts w:hint="eastAsia"/>
        </w:rPr>
        <w:t>Conclusion</w:t>
      </w:r>
    </w:p>
    <w:p w14:paraId="6838DE9D" w14:textId="163AC17C" w:rsidR="00DC2E02" w:rsidRDefault="009A0B81" w:rsidP="00B82EAA">
      <w:pPr>
        <w:widowControl w:val="0"/>
        <w:autoSpaceDE w:val="0"/>
        <w:autoSpaceDN w:val="0"/>
        <w:spacing w:after="180" w:line="252" w:lineRule="auto"/>
        <w:ind w:firstLineChars="50" w:firstLine="100"/>
        <w:jc w:val="both"/>
        <w:rPr>
          <w:lang w:eastAsia="ko-KR"/>
        </w:rPr>
      </w:pPr>
      <w:r>
        <w:rPr>
          <w:lang w:eastAsia="ko-KR"/>
        </w:rPr>
        <w:t>In this contribution, we observe</w:t>
      </w:r>
      <w:r w:rsidR="00705CD2">
        <w:rPr>
          <w:lang w:eastAsia="ko-KR"/>
        </w:rPr>
        <w:t xml:space="preserve"> </w:t>
      </w:r>
      <w:r w:rsidR="000F1B35">
        <w:rPr>
          <w:lang w:eastAsia="ko-KR"/>
        </w:rPr>
        <w:t>the followings</w:t>
      </w:r>
      <w:r w:rsidR="007978F8">
        <w:rPr>
          <w:lang w:eastAsia="ko-KR"/>
        </w:rPr>
        <w:t>:</w:t>
      </w:r>
    </w:p>
    <w:p w14:paraId="20A83686" w14:textId="3D7A3755" w:rsidR="007978F8" w:rsidRDefault="006A6B82"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_Ref471734990 \h </w:instrText>
      </w:r>
      <w:r>
        <w:rPr>
          <w:lang w:eastAsia="ko-KR"/>
        </w:rPr>
      </w:r>
      <w:r>
        <w:rPr>
          <w:lang w:eastAsia="ko-KR"/>
        </w:rPr>
        <w:fldChar w:fldCharType="separate"/>
      </w:r>
      <w:r w:rsidR="009925A6" w:rsidRPr="006A6B82">
        <w:rPr>
          <w:b/>
        </w:rPr>
        <w:t xml:space="preserve">Observation </w:t>
      </w:r>
      <w:r w:rsidR="009925A6">
        <w:rPr>
          <w:b/>
          <w:noProof/>
        </w:rPr>
        <w:t>1</w:t>
      </w:r>
      <w:r w:rsidR="009925A6" w:rsidRPr="006A6B82">
        <w:rPr>
          <w:b/>
        </w:rPr>
        <w:t>:</w:t>
      </w:r>
      <w:r w:rsidR="009925A6" w:rsidRPr="006A6B82">
        <w:rPr>
          <w:rFonts w:ascii="Times New Roman" w:eastAsia="맑은 고딕" w:hAnsi="Times New Roman"/>
          <w:b/>
          <w:kern w:val="2"/>
          <w:lang w:eastAsia="ko-KR"/>
        </w:rPr>
        <w:t xml:space="preserve"> </w:t>
      </w:r>
      <w:r w:rsidR="009925A6" w:rsidRPr="006A6B82">
        <w:rPr>
          <w:rFonts w:ascii="Times New Roman" w:eastAsia="맑은 고딕" w:hAnsi="Times New Roman"/>
          <w:b/>
          <w:kern w:val="2"/>
          <w:szCs w:val="20"/>
          <w:lang w:eastAsia="ko-KR"/>
        </w:rPr>
        <w:t>It is beneficial to monitor slot types of neighbouring gNB to derive the valid CQI report.</w:t>
      </w:r>
      <w:r>
        <w:rPr>
          <w:lang w:eastAsia="ko-KR"/>
        </w:rPr>
        <w:fldChar w:fldCharType="end"/>
      </w:r>
    </w:p>
    <w:p w14:paraId="007898CE" w14:textId="0134BC4B" w:rsidR="006A6B82" w:rsidRDefault="006A6B82"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_Ref471735000 \h </w:instrText>
      </w:r>
      <w:r>
        <w:rPr>
          <w:lang w:eastAsia="ko-KR"/>
        </w:rPr>
      </w:r>
      <w:r>
        <w:rPr>
          <w:lang w:eastAsia="ko-KR"/>
        </w:rPr>
        <w:fldChar w:fldCharType="separate"/>
      </w:r>
      <w:r w:rsidR="009925A6" w:rsidRPr="006A6B82">
        <w:rPr>
          <w:b/>
        </w:rPr>
        <w:t xml:space="preserve">Observation </w:t>
      </w:r>
      <w:r w:rsidR="009925A6">
        <w:rPr>
          <w:b/>
          <w:noProof/>
        </w:rPr>
        <w:t>2</w:t>
      </w:r>
      <w:r w:rsidR="009925A6" w:rsidRPr="006A6B82">
        <w:rPr>
          <w:rFonts w:ascii="Times New Roman" w:eastAsia="맑은 고딕" w:hAnsi="Times New Roman"/>
          <w:b/>
          <w:kern w:val="2"/>
          <w:szCs w:val="20"/>
          <w:lang w:eastAsia="ko-KR"/>
        </w:rPr>
        <w:t xml:space="preserve">: To reduce the latency for URLLC, a single slot should have both DL and </w:t>
      </w:r>
      <w:r w:rsidR="009925A6" w:rsidRPr="006A6B82">
        <w:rPr>
          <w:b/>
        </w:rPr>
        <w:t>UL resources.</w:t>
      </w:r>
      <w:r>
        <w:rPr>
          <w:lang w:eastAsia="ko-KR"/>
        </w:rPr>
        <w:fldChar w:fldCharType="end"/>
      </w:r>
    </w:p>
    <w:p w14:paraId="67913519" w14:textId="0E4876F3" w:rsidR="006A6B82" w:rsidRDefault="006A6B82"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_Ref471735006 \h </w:instrText>
      </w:r>
      <w:r>
        <w:rPr>
          <w:lang w:eastAsia="ko-KR"/>
        </w:rPr>
      </w:r>
      <w:r>
        <w:rPr>
          <w:lang w:eastAsia="ko-KR"/>
        </w:rPr>
        <w:fldChar w:fldCharType="separate"/>
      </w:r>
      <w:r w:rsidR="009925A6" w:rsidRPr="006A6B82">
        <w:rPr>
          <w:b/>
        </w:rPr>
        <w:t xml:space="preserve">Observation </w:t>
      </w:r>
      <w:r w:rsidR="009925A6">
        <w:rPr>
          <w:b/>
          <w:noProof/>
        </w:rPr>
        <w:t>3</w:t>
      </w:r>
      <w:r w:rsidR="009925A6" w:rsidRPr="006A6B82">
        <w:rPr>
          <w:rFonts w:ascii="Times New Roman" w:eastAsia="맑은 고딕" w:hAnsi="Times New Roman" w:hint="eastAsia"/>
          <w:b/>
          <w:kern w:val="2"/>
          <w:szCs w:val="20"/>
          <w:lang w:eastAsia="ko-KR"/>
        </w:rPr>
        <w:t>:</w:t>
      </w:r>
      <w:r w:rsidR="009925A6" w:rsidRPr="006A6B82">
        <w:rPr>
          <w:rFonts w:ascii="Times New Roman" w:eastAsia="맑은 고딕" w:hAnsi="Times New Roman"/>
          <w:b/>
          <w:kern w:val="2"/>
          <w:szCs w:val="20"/>
          <w:lang w:eastAsia="ko-KR"/>
        </w:rPr>
        <w:t xml:space="preserve"> It is beneficial to have multiple bits for slot type indication.</w:t>
      </w:r>
      <w:r>
        <w:rPr>
          <w:lang w:eastAsia="ko-KR"/>
        </w:rPr>
        <w:fldChar w:fldCharType="end"/>
      </w:r>
    </w:p>
    <w:p w14:paraId="0586D6DB" w14:textId="783FE7B4" w:rsidR="006A6B82" w:rsidRDefault="006A6B82"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_Ref471735010 \h </w:instrText>
      </w:r>
      <w:r>
        <w:rPr>
          <w:lang w:eastAsia="ko-KR"/>
        </w:rPr>
      </w:r>
      <w:r>
        <w:rPr>
          <w:lang w:eastAsia="ko-KR"/>
        </w:rPr>
        <w:fldChar w:fldCharType="separate"/>
      </w:r>
      <w:r w:rsidR="009925A6" w:rsidRPr="006A6B82">
        <w:rPr>
          <w:b/>
        </w:rPr>
        <w:t xml:space="preserve">Observation </w:t>
      </w:r>
      <w:r w:rsidR="009925A6">
        <w:rPr>
          <w:b/>
          <w:noProof/>
        </w:rPr>
        <w:t>4</w:t>
      </w:r>
      <w:r w:rsidR="009925A6" w:rsidRPr="006A6B82">
        <w:rPr>
          <w:rFonts w:ascii="Times New Roman" w:eastAsia="맑은 고딕" w:hAnsi="Times New Roman"/>
          <w:b/>
          <w:kern w:val="2"/>
          <w:szCs w:val="20"/>
          <w:lang w:eastAsia="ko-KR"/>
        </w:rPr>
        <w:t>: It is beneficial for both idle and connected UEs to monitor slot types of a gNB to accelerate deriving the RSRQ-like metric.</w:t>
      </w:r>
      <w:r>
        <w:rPr>
          <w:lang w:eastAsia="ko-KR"/>
        </w:rPr>
        <w:fldChar w:fldCharType="end"/>
      </w:r>
    </w:p>
    <w:p w14:paraId="57FDCD49" w14:textId="58689758" w:rsidR="006A6B82" w:rsidRDefault="006A6B82" w:rsidP="00B82EAA">
      <w:pPr>
        <w:widowControl w:val="0"/>
        <w:autoSpaceDE w:val="0"/>
        <w:autoSpaceDN w:val="0"/>
        <w:spacing w:after="180" w:line="252" w:lineRule="auto"/>
        <w:ind w:firstLineChars="50" w:firstLine="100"/>
        <w:jc w:val="both"/>
        <w:rPr>
          <w:lang w:eastAsia="ko-KR"/>
        </w:rPr>
      </w:pPr>
      <w:r>
        <w:rPr>
          <w:lang w:eastAsia="ko-KR"/>
        </w:rPr>
        <w:t>B</w:t>
      </w:r>
      <w:r>
        <w:rPr>
          <w:rFonts w:hint="eastAsia"/>
          <w:lang w:eastAsia="ko-KR"/>
        </w:rPr>
        <w:t xml:space="preserve">ased </w:t>
      </w:r>
      <w:r>
        <w:rPr>
          <w:lang w:eastAsia="ko-KR"/>
        </w:rPr>
        <w:t>on those observations, we made the following proposals:</w:t>
      </w:r>
      <w:bookmarkStart w:id="9" w:name="_GoBack"/>
      <w:bookmarkEnd w:id="9"/>
    </w:p>
    <w:p w14:paraId="3F8301E1" w14:textId="6290331B" w:rsidR="006A6B82" w:rsidRDefault="006A6B82" w:rsidP="00B82EAA">
      <w:pPr>
        <w:widowControl w:val="0"/>
        <w:autoSpaceDE w:val="0"/>
        <w:autoSpaceDN w:val="0"/>
        <w:spacing w:after="180" w:line="252" w:lineRule="auto"/>
        <w:ind w:firstLineChars="50" w:firstLine="100"/>
        <w:jc w:val="both"/>
        <w:rPr>
          <w:lang w:eastAsia="ko-KR"/>
        </w:rPr>
      </w:pPr>
      <w:r>
        <w:rPr>
          <w:lang w:eastAsia="ko-KR"/>
        </w:rPr>
        <w:lastRenderedPageBreak/>
        <w:fldChar w:fldCharType="begin"/>
      </w:r>
      <w:r>
        <w:rPr>
          <w:lang w:eastAsia="ko-KR"/>
        </w:rPr>
        <w:instrText xml:space="preserve"> REF _Ref471735037 \h </w:instrText>
      </w:r>
      <w:r>
        <w:rPr>
          <w:lang w:eastAsia="ko-KR"/>
        </w:rPr>
      </w:r>
      <w:r>
        <w:rPr>
          <w:lang w:eastAsia="ko-KR"/>
        </w:rPr>
        <w:fldChar w:fldCharType="separate"/>
      </w:r>
      <w:r w:rsidR="009925A6" w:rsidRPr="006A6B82">
        <w:rPr>
          <w:rFonts w:ascii="Times New Roman" w:eastAsia="맑은 고딕" w:hAnsi="Times New Roman"/>
          <w:b/>
          <w:kern w:val="2"/>
          <w:szCs w:val="20"/>
          <w:lang w:eastAsia="ko-KR"/>
        </w:rPr>
        <w:t xml:space="preserve">Proposal </w:t>
      </w:r>
      <w:r w:rsidR="009925A6">
        <w:rPr>
          <w:rFonts w:ascii="Times New Roman" w:eastAsia="맑은 고딕" w:hAnsi="Times New Roman"/>
          <w:b/>
          <w:noProof/>
          <w:kern w:val="2"/>
          <w:szCs w:val="20"/>
          <w:lang w:eastAsia="ko-KR"/>
        </w:rPr>
        <w:t>1</w:t>
      </w:r>
      <w:r w:rsidR="009925A6" w:rsidRPr="006A6B82">
        <w:rPr>
          <w:rFonts w:ascii="Times New Roman" w:eastAsia="맑은 고딕" w:hAnsi="Times New Roman"/>
          <w:b/>
          <w:kern w:val="2"/>
          <w:szCs w:val="20"/>
          <w:lang w:eastAsia="ko-KR"/>
        </w:rPr>
        <w:t>: PSTICH is transmitted cell-specifically at every slot.</w:t>
      </w:r>
      <w:r>
        <w:rPr>
          <w:lang w:eastAsia="ko-KR"/>
        </w:rPr>
        <w:fldChar w:fldCharType="end"/>
      </w:r>
    </w:p>
    <w:p w14:paraId="7E238ED9" w14:textId="6E2FA31A" w:rsidR="006A6B82" w:rsidRDefault="006A6B82"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_Ref471735046 \h </w:instrText>
      </w:r>
      <w:r>
        <w:rPr>
          <w:lang w:eastAsia="ko-KR"/>
        </w:rPr>
      </w:r>
      <w:r>
        <w:rPr>
          <w:lang w:eastAsia="ko-KR"/>
        </w:rPr>
        <w:fldChar w:fldCharType="separate"/>
      </w:r>
      <w:r w:rsidR="009925A6" w:rsidRPr="006A6B82">
        <w:rPr>
          <w:rFonts w:ascii="Times New Roman" w:eastAsia="맑은 고딕" w:hAnsi="Times New Roman"/>
          <w:b/>
          <w:kern w:val="2"/>
          <w:szCs w:val="20"/>
          <w:lang w:eastAsia="ko-KR"/>
        </w:rPr>
        <w:t xml:space="preserve">Proposal </w:t>
      </w:r>
      <w:r w:rsidR="009925A6">
        <w:rPr>
          <w:rFonts w:ascii="Times New Roman" w:eastAsia="맑은 고딕" w:hAnsi="Times New Roman"/>
          <w:b/>
          <w:noProof/>
          <w:kern w:val="2"/>
          <w:szCs w:val="20"/>
          <w:lang w:eastAsia="ko-KR"/>
        </w:rPr>
        <w:t>2</w:t>
      </w:r>
      <w:r w:rsidR="009925A6" w:rsidRPr="006A6B82">
        <w:rPr>
          <w:rFonts w:ascii="Times New Roman" w:eastAsia="맑은 고딕" w:hAnsi="Times New Roman"/>
          <w:b/>
          <w:kern w:val="2"/>
          <w:szCs w:val="20"/>
          <w:lang w:eastAsia="ko-KR"/>
        </w:rPr>
        <w:t>: PSTICH can indicate one of multiple configurations among DL-centric slot type.</w:t>
      </w:r>
      <w:r>
        <w:rPr>
          <w:lang w:eastAsia="ko-KR"/>
        </w:rPr>
        <w:fldChar w:fldCharType="end"/>
      </w:r>
    </w:p>
    <w:p w14:paraId="4709A4BC" w14:textId="18F8D5A8" w:rsidR="006A6B82" w:rsidRPr="00013814" w:rsidRDefault="006A6B82" w:rsidP="006A6B82">
      <w:pPr>
        <w:pStyle w:val="1"/>
        <w:numPr>
          <w:ilvl w:val="0"/>
          <w:numId w:val="1"/>
        </w:numPr>
      </w:pPr>
      <w:r>
        <w:t>References</w:t>
      </w:r>
    </w:p>
    <w:p w14:paraId="637AB396" w14:textId="42978D36" w:rsidR="006A6B82" w:rsidRDefault="006A6B82" w:rsidP="00F5516B">
      <w:pPr>
        <w:widowControl w:val="0"/>
        <w:autoSpaceDE w:val="0"/>
        <w:autoSpaceDN w:val="0"/>
        <w:spacing w:after="180" w:line="252" w:lineRule="auto"/>
        <w:jc w:val="both"/>
        <w:rPr>
          <w:lang w:eastAsia="ko-KR"/>
        </w:rPr>
      </w:pPr>
      <w:r>
        <w:rPr>
          <w:rFonts w:hint="eastAsia"/>
          <w:lang w:eastAsia="ko-KR"/>
        </w:rPr>
        <w:t xml:space="preserve">[1] </w:t>
      </w:r>
      <w:r w:rsidR="00F5516B" w:rsidRPr="00F5516B">
        <w:rPr>
          <w:lang w:eastAsia="ko-KR"/>
        </w:rPr>
        <w:t>R1-1613737</w:t>
      </w:r>
      <w:r w:rsidR="00F5516B">
        <w:rPr>
          <w:lang w:eastAsia="ko-KR"/>
        </w:rPr>
        <w:tab/>
      </w:r>
      <w:r w:rsidR="00F5516B" w:rsidRPr="00F5516B">
        <w:rPr>
          <w:lang w:eastAsia="ko-KR"/>
        </w:rPr>
        <w:t>WF on L1 broadcast control channel</w:t>
      </w:r>
      <w:r w:rsidR="00F5516B">
        <w:rPr>
          <w:lang w:eastAsia="ko-KR"/>
        </w:rPr>
        <w:tab/>
      </w:r>
      <w:r w:rsidR="00F5516B" w:rsidRPr="00F5516B">
        <w:rPr>
          <w:lang w:eastAsia="ko-KR"/>
        </w:rPr>
        <w:t>Qualcomm, MTK, Huawei. HiSilicon, ZTE, ZTE Micro</w:t>
      </w:r>
      <w:r w:rsidR="00F5516B">
        <w:rPr>
          <w:lang w:eastAsia="ko-KR"/>
        </w:rPr>
        <w:t xml:space="preserve">electronics, Samsung, </w:t>
      </w:r>
      <w:proofErr w:type="spellStart"/>
      <w:r w:rsidR="00F5516B">
        <w:rPr>
          <w:lang w:eastAsia="ko-KR"/>
        </w:rPr>
        <w:t>Convida</w:t>
      </w:r>
      <w:proofErr w:type="spellEnd"/>
    </w:p>
    <w:sectPr w:rsidR="006A6B82">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FA00C" w14:textId="77777777" w:rsidR="005D5057" w:rsidRDefault="005D5057" w:rsidP="003E77F5">
      <w:r>
        <w:separator/>
      </w:r>
    </w:p>
  </w:endnote>
  <w:endnote w:type="continuationSeparator" w:id="0">
    <w:p w14:paraId="58E6D524" w14:textId="77777777" w:rsidR="005D5057" w:rsidRDefault="005D5057"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egoe UI Semilight">
    <w:panose1 w:val="020B04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23AF9DDE" w:rsidR="00D33001" w:rsidRDefault="00D33001">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9925A6">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9925A6">
              <w:rPr>
                <w:b/>
                <w:bCs/>
                <w:noProof/>
              </w:rPr>
              <w:t>3</w:t>
            </w:r>
            <w:r>
              <w:rPr>
                <w:b/>
                <w:bCs/>
                <w:sz w:val="24"/>
              </w:rPr>
              <w:fldChar w:fldCharType="end"/>
            </w:r>
          </w:p>
        </w:sdtContent>
      </w:sdt>
    </w:sdtContent>
  </w:sdt>
  <w:p w14:paraId="039F6FFF" w14:textId="77777777" w:rsidR="00D33001" w:rsidRDefault="00D3300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A32BA" w14:textId="77777777" w:rsidR="005D5057" w:rsidRDefault="005D5057" w:rsidP="003E77F5">
      <w:r>
        <w:separator/>
      </w:r>
    </w:p>
  </w:footnote>
  <w:footnote w:type="continuationSeparator" w:id="0">
    <w:p w14:paraId="4155E2E2" w14:textId="77777777" w:rsidR="005D5057" w:rsidRDefault="005D5057"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4166B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E3461AC"/>
    <w:multiLevelType w:val="multilevel"/>
    <w:tmpl w:val="0409001F"/>
    <w:lvl w:ilvl="0">
      <w:start w:val="1"/>
      <w:numFmt w:val="decimal"/>
      <w:lvlText w:val="%1."/>
      <w:lvlJc w:val="left"/>
      <w:pPr>
        <w:ind w:left="525" w:hanging="425"/>
      </w:pPr>
    </w:lvl>
    <w:lvl w:ilvl="1">
      <w:start w:val="1"/>
      <w:numFmt w:val="decimal"/>
      <w:lvlText w:val="%1.%2."/>
      <w:lvlJc w:val="left"/>
      <w:pPr>
        <w:ind w:left="667" w:hanging="567"/>
      </w:pPr>
    </w:lvl>
    <w:lvl w:ilvl="2">
      <w:start w:val="1"/>
      <w:numFmt w:val="decimal"/>
      <w:lvlText w:val="%1.%2.%3."/>
      <w:lvlJc w:val="left"/>
      <w:pPr>
        <w:ind w:left="809" w:hanging="709"/>
      </w:pPr>
    </w:lvl>
    <w:lvl w:ilvl="3">
      <w:start w:val="1"/>
      <w:numFmt w:val="decimal"/>
      <w:lvlText w:val="%1.%2.%3.%4."/>
      <w:lvlJc w:val="left"/>
      <w:pPr>
        <w:ind w:left="951" w:hanging="851"/>
      </w:pPr>
    </w:lvl>
    <w:lvl w:ilvl="4">
      <w:start w:val="1"/>
      <w:numFmt w:val="decimal"/>
      <w:lvlText w:val="%1.%2.%3.%4.%5."/>
      <w:lvlJc w:val="left"/>
      <w:pPr>
        <w:ind w:left="1092" w:hanging="992"/>
      </w:pPr>
    </w:lvl>
    <w:lvl w:ilvl="5">
      <w:start w:val="1"/>
      <w:numFmt w:val="decimal"/>
      <w:lvlText w:val="%1.%2.%3.%4.%5.%6."/>
      <w:lvlJc w:val="left"/>
      <w:pPr>
        <w:ind w:left="1234" w:hanging="1134"/>
      </w:pPr>
    </w:lvl>
    <w:lvl w:ilvl="6">
      <w:start w:val="1"/>
      <w:numFmt w:val="decimal"/>
      <w:lvlText w:val="%1.%2.%3.%4.%5.%6.%7."/>
      <w:lvlJc w:val="left"/>
      <w:pPr>
        <w:ind w:left="1376" w:hanging="1276"/>
      </w:pPr>
    </w:lvl>
    <w:lvl w:ilvl="7">
      <w:start w:val="1"/>
      <w:numFmt w:val="decimal"/>
      <w:lvlText w:val="%1.%2.%3.%4.%5.%6.%7.%8."/>
      <w:lvlJc w:val="left"/>
      <w:pPr>
        <w:ind w:left="1518" w:hanging="1418"/>
      </w:pPr>
    </w:lvl>
    <w:lvl w:ilvl="8">
      <w:start w:val="1"/>
      <w:numFmt w:val="decimal"/>
      <w:lvlText w:val="%1.%2.%3.%4.%5.%6.%7.%8.%9."/>
      <w:lvlJc w:val="left"/>
      <w:pPr>
        <w:ind w:left="1659" w:hanging="1559"/>
      </w:pPr>
    </w:lvl>
  </w:abstractNum>
  <w:abstractNum w:abstractNumId="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454C1"/>
    <w:multiLevelType w:val="multilevel"/>
    <w:tmpl w:val="EC38E862"/>
    <w:lvl w:ilvl="0">
      <w:start w:val="1"/>
      <w:numFmt w:val="bullet"/>
      <w:lvlText w:val=""/>
      <w:lvlJc w:val="left"/>
      <w:pPr>
        <w:ind w:left="850" w:hanging="425"/>
      </w:pPr>
      <w:rPr>
        <w:rFonts w:ascii="Wingdings" w:hAnsi="Wingdings" w:hint="default"/>
      </w:rPr>
    </w:lvl>
    <w:lvl w:ilvl="1">
      <w:start w:val="1"/>
      <w:numFmt w:val="bullet"/>
      <w:lvlText w:val="-"/>
      <w:lvlJc w:val="left"/>
      <w:pPr>
        <w:ind w:left="1417" w:hanging="567"/>
      </w:pPr>
      <w:rPr>
        <w:rFonts w:ascii="Segoe UI Semilight" w:hAnsi="Segoe UI Semilight" w:hint="default"/>
      </w:rPr>
    </w:lvl>
    <w:lvl w:ilvl="2">
      <w:start w:val="1"/>
      <w:numFmt w:val="decimal"/>
      <w:lvlText w:val="%1.%2.%3"/>
      <w:lvlJc w:val="left"/>
      <w:pPr>
        <w:ind w:left="1843" w:hanging="567"/>
      </w:pPr>
      <w:rPr>
        <w:rFonts w:hint="default"/>
      </w:rPr>
    </w:lvl>
    <w:lvl w:ilvl="3">
      <w:start w:val="1"/>
      <w:numFmt w:val="decimal"/>
      <w:lvlText w:val="%1.%2.%3.%4"/>
      <w:lvlJc w:val="left"/>
      <w:pPr>
        <w:ind w:left="2409" w:hanging="708"/>
      </w:pPr>
      <w:rPr>
        <w:rFonts w:hint="default"/>
      </w:rPr>
    </w:lvl>
    <w:lvl w:ilvl="4">
      <w:start w:val="1"/>
      <w:numFmt w:val="decimal"/>
      <w:lvlText w:val="%1.%2.%3.%4.%5"/>
      <w:lvlJc w:val="left"/>
      <w:pPr>
        <w:ind w:left="2976" w:hanging="850"/>
      </w:pPr>
      <w:rPr>
        <w:rFonts w:hint="default"/>
      </w:rPr>
    </w:lvl>
    <w:lvl w:ilvl="5">
      <w:start w:val="1"/>
      <w:numFmt w:val="decimal"/>
      <w:lvlText w:val="%1.%2.%3.%4.%5.%6"/>
      <w:lvlJc w:val="left"/>
      <w:pPr>
        <w:ind w:left="3685" w:hanging="1134"/>
      </w:pPr>
      <w:rPr>
        <w:rFonts w:hint="default"/>
      </w:rPr>
    </w:lvl>
    <w:lvl w:ilvl="6">
      <w:start w:val="1"/>
      <w:numFmt w:val="decimal"/>
      <w:lvlText w:val="%1.%2.%3.%4.%5.%6.%7"/>
      <w:lvlJc w:val="left"/>
      <w:pPr>
        <w:ind w:left="4252" w:hanging="1276"/>
      </w:pPr>
      <w:rPr>
        <w:rFonts w:hint="default"/>
      </w:rPr>
    </w:lvl>
    <w:lvl w:ilvl="7">
      <w:start w:val="1"/>
      <w:numFmt w:val="decimal"/>
      <w:lvlText w:val="%1.%2.%3.%4.%5.%6.%7.%8"/>
      <w:lvlJc w:val="left"/>
      <w:pPr>
        <w:ind w:left="4819" w:hanging="1418"/>
      </w:pPr>
      <w:rPr>
        <w:rFonts w:hint="default"/>
      </w:rPr>
    </w:lvl>
    <w:lvl w:ilvl="8">
      <w:start w:val="1"/>
      <w:numFmt w:val="decimal"/>
      <w:lvlText w:val="%1.%2.%3.%4.%5.%6.%7.%8.%9"/>
      <w:lvlJc w:val="left"/>
      <w:pPr>
        <w:ind w:left="5527" w:hanging="1700"/>
      </w:pPr>
      <w:rPr>
        <w:rFonts w:hint="default"/>
      </w:rPr>
    </w:lvl>
  </w:abstractNum>
  <w:abstractNum w:abstractNumId="8" w15:restartNumberingAfterBreak="0">
    <w:nsid w:val="24C37324"/>
    <w:multiLevelType w:val="hybridMultilevel"/>
    <w:tmpl w:val="F3CA32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C8E7C5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13A49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0B2C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4D2663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466D180B"/>
    <w:multiLevelType w:val="hybridMultilevel"/>
    <w:tmpl w:val="0F1E7774"/>
    <w:lvl w:ilvl="0" w:tplc="5B1E26BC">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6" w15:restartNumberingAfterBreak="0">
    <w:nsid w:val="537A3A5F"/>
    <w:multiLevelType w:val="hybridMultilevel"/>
    <w:tmpl w:val="67CEB884"/>
    <w:lvl w:ilvl="0" w:tplc="5B1E26BC">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7"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4610B8"/>
    <w:multiLevelType w:val="hybridMultilevel"/>
    <w:tmpl w:val="24DC77B4"/>
    <w:lvl w:ilvl="0" w:tplc="655CD2FE">
      <w:numFmt w:val="bullet"/>
      <w:lvlText w:val="-"/>
      <w:lvlJc w:val="left"/>
      <w:pPr>
        <w:ind w:left="900" w:hanging="400"/>
      </w:pPr>
      <w:rPr>
        <w:rFonts w:ascii="Times New Roman" w:eastAsia="맑은 고딕"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9" w15:restartNumberingAfterBreak="0">
    <w:nsid w:val="611070D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47B163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67491B"/>
    <w:multiLevelType w:val="hybridMultilevel"/>
    <w:tmpl w:val="0DCA73CA"/>
    <w:lvl w:ilvl="0" w:tplc="655CD2FE">
      <w:numFmt w:val="bullet"/>
      <w:lvlText w:val="-"/>
      <w:lvlJc w:val="left"/>
      <w:pPr>
        <w:ind w:left="495" w:hanging="360"/>
      </w:pPr>
      <w:rPr>
        <w:rFonts w:ascii="Times New Roman" w:eastAsia="맑은 고딕" w:hAnsi="Times New Roman" w:cs="Times New Roman" w:hint="default"/>
      </w:rPr>
    </w:lvl>
    <w:lvl w:ilvl="1" w:tplc="04090003" w:tentative="1">
      <w:start w:val="1"/>
      <w:numFmt w:val="bullet"/>
      <w:lvlText w:val=""/>
      <w:lvlJc w:val="left"/>
      <w:pPr>
        <w:ind w:left="935" w:hanging="400"/>
      </w:pPr>
      <w:rPr>
        <w:rFonts w:ascii="Wingdings" w:hAnsi="Wingdings" w:hint="default"/>
      </w:rPr>
    </w:lvl>
    <w:lvl w:ilvl="2" w:tplc="04090005" w:tentative="1">
      <w:start w:val="1"/>
      <w:numFmt w:val="bullet"/>
      <w:lvlText w:val=""/>
      <w:lvlJc w:val="left"/>
      <w:pPr>
        <w:ind w:left="1335" w:hanging="400"/>
      </w:pPr>
      <w:rPr>
        <w:rFonts w:ascii="Wingdings" w:hAnsi="Wingdings" w:hint="default"/>
      </w:rPr>
    </w:lvl>
    <w:lvl w:ilvl="3" w:tplc="04090001" w:tentative="1">
      <w:start w:val="1"/>
      <w:numFmt w:val="bullet"/>
      <w:lvlText w:val=""/>
      <w:lvlJc w:val="left"/>
      <w:pPr>
        <w:ind w:left="1735" w:hanging="400"/>
      </w:pPr>
      <w:rPr>
        <w:rFonts w:ascii="Wingdings" w:hAnsi="Wingdings" w:hint="default"/>
      </w:rPr>
    </w:lvl>
    <w:lvl w:ilvl="4" w:tplc="04090003" w:tentative="1">
      <w:start w:val="1"/>
      <w:numFmt w:val="bullet"/>
      <w:lvlText w:val=""/>
      <w:lvlJc w:val="left"/>
      <w:pPr>
        <w:ind w:left="2135" w:hanging="400"/>
      </w:pPr>
      <w:rPr>
        <w:rFonts w:ascii="Wingdings" w:hAnsi="Wingdings" w:hint="default"/>
      </w:rPr>
    </w:lvl>
    <w:lvl w:ilvl="5" w:tplc="04090005" w:tentative="1">
      <w:start w:val="1"/>
      <w:numFmt w:val="bullet"/>
      <w:lvlText w:val=""/>
      <w:lvlJc w:val="left"/>
      <w:pPr>
        <w:ind w:left="2535" w:hanging="400"/>
      </w:pPr>
      <w:rPr>
        <w:rFonts w:ascii="Wingdings" w:hAnsi="Wingdings" w:hint="default"/>
      </w:rPr>
    </w:lvl>
    <w:lvl w:ilvl="6" w:tplc="04090001" w:tentative="1">
      <w:start w:val="1"/>
      <w:numFmt w:val="bullet"/>
      <w:lvlText w:val=""/>
      <w:lvlJc w:val="left"/>
      <w:pPr>
        <w:ind w:left="2935" w:hanging="400"/>
      </w:pPr>
      <w:rPr>
        <w:rFonts w:ascii="Wingdings" w:hAnsi="Wingdings" w:hint="default"/>
      </w:rPr>
    </w:lvl>
    <w:lvl w:ilvl="7" w:tplc="04090003" w:tentative="1">
      <w:start w:val="1"/>
      <w:numFmt w:val="bullet"/>
      <w:lvlText w:val=""/>
      <w:lvlJc w:val="left"/>
      <w:pPr>
        <w:ind w:left="3335" w:hanging="400"/>
      </w:pPr>
      <w:rPr>
        <w:rFonts w:ascii="Wingdings" w:hAnsi="Wingdings" w:hint="default"/>
      </w:rPr>
    </w:lvl>
    <w:lvl w:ilvl="8" w:tplc="04090005" w:tentative="1">
      <w:start w:val="1"/>
      <w:numFmt w:val="bullet"/>
      <w:lvlText w:val=""/>
      <w:lvlJc w:val="left"/>
      <w:pPr>
        <w:ind w:left="3735" w:hanging="400"/>
      </w:pPr>
      <w:rPr>
        <w:rFonts w:ascii="Wingdings" w:hAnsi="Wingdings" w:hint="default"/>
      </w:rPr>
    </w:lvl>
  </w:abstractNum>
  <w:abstractNum w:abstractNumId="23" w15:restartNumberingAfterBreak="0">
    <w:nsid w:val="6D855FD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0664D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7D0866A3"/>
    <w:multiLevelType w:val="hybridMultilevel"/>
    <w:tmpl w:val="845AD7CA"/>
    <w:lvl w:ilvl="0" w:tplc="0409000F">
      <w:start w:val="1"/>
      <w:numFmt w:val="decimal"/>
      <w:lvlText w:val="%1."/>
      <w:lvlJc w:val="left"/>
      <w:pPr>
        <w:ind w:left="940" w:hanging="400"/>
      </w:pPr>
    </w:lvl>
    <w:lvl w:ilvl="1" w:tplc="04090019" w:tentative="1">
      <w:start w:val="1"/>
      <w:numFmt w:val="upperLetter"/>
      <w:lvlText w:val="%2."/>
      <w:lvlJc w:val="left"/>
      <w:pPr>
        <w:ind w:left="1340" w:hanging="400"/>
      </w:pPr>
    </w:lvl>
    <w:lvl w:ilvl="2" w:tplc="0409001B" w:tentative="1">
      <w:start w:val="1"/>
      <w:numFmt w:val="lowerRoman"/>
      <w:lvlText w:val="%3."/>
      <w:lvlJc w:val="right"/>
      <w:pPr>
        <w:ind w:left="1740" w:hanging="400"/>
      </w:pPr>
    </w:lvl>
    <w:lvl w:ilvl="3" w:tplc="0409000F" w:tentative="1">
      <w:start w:val="1"/>
      <w:numFmt w:val="decimal"/>
      <w:lvlText w:val="%4."/>
      <w:lvlJc w:val="left"/>
      <w:pPr>
        <w:ind w:left="2140" w:hanging="400"/>
      </w:pPr>
    </w:lvl>
    <w:lvl w:ilvl="4" w:tplc="04090019" w:tentative="1">
      <w:start w:val="1"/>
      <w:numFmt w:val="upperLetter"/>
      <w:lvlText w:val="%5."/>
      <w:lvlJc w:val="left"/>
      <w:pPr>
        <w:ind w:left="2540" w:hanging="400"/>
      </w:pPr>
    </w:lvl>
    <w:lvl w:ilvl="5" w:tplc="0409001B" w:tentative="1">
      <w:start w:val="1"/>
      <w:numFmt w:val="lowerRoman"/>
      <w:lvlText w:val="%6."/>
      <w:lvlJc w:val="right"/>
      <w:pPr>
        <w:ind w:left="2940" w:hanging="400"/>
      </w:pPr>
    </w:lvl>
    <w:lvl w:ilvl="6" w:tplc="0409000F" w:tentative="1">
      <w:start w:val="1"/>
      <w:numFmt w:val="decimal"/>
      <w:lvlText w:val="%7."/>
      <w:lvlJc w:val="left"/>
      <w:pPr>
        <w:ind w:left="3340" w:hanging="400"/>
      </w:pPr>
    </w:lvl>
    <w:lvl w:ilvl="7" w:tplc="04090019" w:tentative="1">
      <w:start w:val="1"/>
      <w:numFmt w:val="upperLetter"/>
      <w:lvlText w:val="%8."/>
      <w:lvlJc w:val="left"/>
      <w:pPr>
        <w:ind w:left="3740" w:hanging="400"/>
      </w:pPr>
    </w:lvl>
    <w:lvl w:ilvl="8" w:tplc="0409001B" w:tentative="1">
      <w:start w:val="1"/>
      <w:numFmt w:val="lowerRoman"/>
      <w:lvlText w:val="%9."/>
      <w:lvlJc w:val="right"/>
      <w:pPr>
        <w:ind w:left="4140" w:hanging="400"/>
      </w:pPr>
    </w:lvl>
  </w:abstractNum>
  <w:abstractNum w:abstractNumId="27" w15:restartNumberingAfterBreak="0">
    <w:nsid w:val="7FFA0132"/>
    <w:multiLevelType w:val="hybridMultilevel"/>
    <w:tmpl w:val="071E5644"/>
    <w:lvl w:ilvl="0" w:tplc="0409000F">
      <w:start w:val="1"/>
      <w:numFmt w:val="decimal"/>
      <w:lvlText w:val="%1."/>
      <w:lvlJc w:val="left"/>
      <w:pPr>
        <w:ind w:left="940" w:hanging="400"/>
      </w:pPr>
    </w:lvl>
    <w:lvl w:ilvl="1" w:tplc="04090019" w:tentative="1">
      <w:start w:val="1"/>
      <w:numFmt w:val="upperLetter"/>
      <w:lvlText w:val="%2."/>
      <w:lvlJc w:val="left"/>
      <w:pPr>
        <w:ind w:left="1340" w:hanging="400"/>
      </w:pPr>
    </w:lvl>
    <w:lvl w:ilvl="2" w:tplc="0409001B" w:tentative="1">
      <w:start w:val="1"/>
      <w:numFmt w:val="lowerRoman"/>
      <w:lvlText w:val="%3."/>
      <w:lvlJc w:val="right"/>
      <w:pPr>
        <w:ind w:left="1740" w:hanging="400"/>
      </w:pPr>
    </w:lvl>
    <w:lvl w:ilvl="3" w:tplc="0409000F" w:tentative="1">
      <w:start w:val="1"/>
      <w:numFmt w:val="decimal"/>
      <w:lvlText w:val="%4."/>
      <w:lvlJc w:val="left"/>
      <w:pPr>
        <w:ind w:left="2140" w:hanging="400"/>
      </w:pPr>
    </w:lvl>
    <w:lvl w:ilvl="4" w:tplc="04090019" w:tentative="1">
      <w:start w:val="1"/>
      <w:numFmt w:val="upperLetter"/>
      <w:lvlText w:val="%5."/>
      <w:lvlJc w:val="left"/>
      <w:pPr>
        <w:ind w:left="2540" w:hanging="400"/>
      </w:pPr>
    </w:lvl>
    <w:lvl w:ilvl="5" w:tplc="0409001B" w:tentative="1">
      <w:start w:val="1"/>
      <w:numFmt w:val="lowerRoman"/>
      <w:lvlText w:val="%6."/>
      <w:lvlJc w:val="right"/>
      <w:pPr>
        <w:ind w:left="2940" w:hanging="400"/>
      </w:pPr>
    </w:lvl>
    <w:lvl w:ilvl="6" w:tplc="0409000F" w:tentative="1">
      <w:start w:val="1"/>
      <w:numFmt w:val="decimal"/>
      <w:lvlText w:val="%7."/>
      <w:lvlJc w:val="left"/>
      <w:pPr>
        <w:ind w:left="3340" w:hanging="400"/>
      </w:pPr>
    </w:lvl>
    <w:lvl w:ilvl="7" w:tplc="04090019" w:tentative="1">
      <w:start w:val="1"/>
      <w:numFmt w:val="upperLetter"/>
      <w:lvlText w:val="%8."/>
      <w:lvlJc w:val="left"/>
      <w:pPr>
        <w:ind w:left="3740" w:hanging="400"/>
      </w:pPr>
    </w:lvl>
    <w:lvl w:ilvl="8" w:tplc="0409001B" w:tentative="1">
      <w:start w:val="1"/>
      <w:numFmt w:val="lowerRoman"/>
      <w:lvlText w:val="%9."/>
      <w:lvlJc w:val="right"/>
      <w:pPr>
        <w:ind w:left="4140" w:hanging="400"/>
      </w:pPr>
    </w:lvl>
  </w:abstractNum>
  <w:num w:numId="1">
    <w:abstractNumId w:val="13"/>
  </w:num>
  <w:num w:numId="2">
    <w:abstractNumId w:val="11"/>
  </w:num>
  <w:num w:numId="3">
    <w:abstractNumId w:val="24"/>
  </w:num>
  <w:num w:numId="4">
    <w:abstractNumId w:val="2"/>
  </w:num>
  <w:num w:numId="5">
    <w:abstractNumId w:val="16"/>
  </w:num>
  <w:num w:numId="6">
    <w:abstractNumId w:val="15"/>
  </w:num>
  <w:num w:numId="7">
    <w:abstractNumId w:val="4"/>
  </w:num>
  <w:num w:numId="8">
    <w:abstractNumId w:val="25"/>
  </w:num>
  <w:num w:numId="9">
    <w:abstractNumId w:val="20"/>
  </w:num>
  <w:num w:numId="10">
    <w:abstractNumId w:val="7"/>
  </w:num>
  <w:num w:numId="11">
    <w:abstractNumId w:val="10"/>
  </w:num>
  <w:num w:numId="12">
    <w:abstractNumId w:val="12"/>
  </w:num>
  <w:num w:numId="13">
    <w:abstractNumId w:val="14"/>
  </w:num>
  <w:num w:numId="14">
    <w:abstractNumId w:val="8"/>
  </w:num>
  <w:num w:numId="15">
    <w:abstractNumId w:val="17"/>
  </w:num>
  <w:num w:numId="16">
    <w:abstractNumId w:val="3"/>
  </w:num>
  <w:num w:numId="17">
    <w:abstractNumId w:val="21"/>
  </w:num>
  <w:num w:numId="18">
    <w:abstractNumId w:val="9"/>
  </w:num>
  <w:num w:numId="19">
    <w:abstractNumId w:val="6"/>
  </w:num>
  <w:num w:numId="20">
    <w:abstractNumId w:val="0"/>
  </w:num>
  <w:num w:numId="21">
    <w:abstractNumId w:val="1"/>
  </w:num>
  <w:num w:numId="22">
    <w:abstractNumId w:val="22"/>
  </w:num>
  <w:num w:numId="23">
    <w:abstractNumId w:val="26"/>
  </w:num>
  <w:num w:numId="24">
    <w:abstractNumId w:val="18"/>
  </w:num>
  <w:num w:numId="25">
    <w:abstractNumId w:val="27"/>
  </w:num>
  <w:num w:numId="26">
    <w:abstractNumId w:val="23"/>
  </w:num>
  <w:num w:numId="27">
    <w:abstractNumId w:val="5"/>
  </w:num>
  <w:num w:numId="28">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07B8B"/>
    <w:rsid w:val="000105B7"/>
    <w:rsid w:val="00010BD5"/>
    <w:rsid w:val="00011853"/>
    <w:rsid w:val="00013814"/>
    <w:rsid w:val="00015E69"/>
    <w:rsid w:val="00016A80"/>
    <w:rsid w:val="000212D6"/>
    <w:rsid w:val="00030BCC"/>
    <w:rsid w:val="0003123F"/>
    <w:rsid w:val="00033B50"/>
    <w:rsid w:val="000356F9"/>
    <w:rsid w:val="00035ADF"/>
    <w:rsid w:val="00036157"/>
    <w:rsid w:val="00036772"/>
    <w:rsid w:val="00040915"/>
    <w:rsid w:val="00040994"/>
    <w:rsid w:val="00041134"/>
    <w:rsid w:val="000431EA"/>
    <w:rsid w:val="00043C20"/>
    <w:rsid w:val="0004496F"/>
    <w:rsid w:val="00050A6C"/>
    <w:rsid w:val="000553E2"/>
    <w:rsid w:val="0005563E"/>
    <w:rsid w:val="00062181"/>
    <w:rsid w:val="00063F75"/>
    <w:rsid w:val="000642B7"/>
    <w:rsid w:val="00065553"/>
    <w:rsid w:val="00066587"/>
    <w:rsid w:val="00072059"/>
    <w:rsid w:val="00073E74"/>
    <w:rsid w:val="00074F93"/>
    <w:rsid w:val="00077EB2"/>
    <w:rsid w:val="00081776"/>
    <w:rsid w:val="00082480"/>
    <w:rsid w:val="00082F37"/>
    <w:rsid w:val="000831F3"/>
    <w:rsid w:val="000832C1"/>
    <w:rsid w:val="0008626E"/>
    <w:rsid w:val="00095EF1"/>
    <w:rsid w:val="00097D8A"/>
    <w:rsid w:val="000A5CD8"/>
    <w:rsid w:val="000A71F6"/>
    <w:rsid w:val="000B48E0"/>
    <w:rsid w:val="000C3655"/>
    <w:rsid w:val="000C7371"/>
    <w:rsid w:val="000C7E40"/>
    <w:rsid w:val="000D1652"/>
    <w:rsid w:val="000D1C83"/>
    <w:rsid w:val="000D275E"/>
    <w:rsid w:val="000D409F"/>
    <w:rsid w:val="000D4B19"/>
    <w:rsid w:val="000D6C90"/>
    <w:rsid w:val="000D7583"/>
    <w:rsid w:val="000E1730"/>
    <w:rsid w:val="000E7139"/>
    <w:rsid w:val="000F0CF0"/>
    <w:rsid w:val="000F1B35"/>
    <w:rsid w:val="00100519"/>
    <w:rsid w:val="00104485"/>
    <w:rsid w:val="00106CDE"/>
    <w:rsid w:val="001072C7"/>
    <w:rsid w:val="00107CF9"/>
    <w:rsid w:val="00110FEB"/>
    <w:rsid w:val="00111055"/>
    <w:rsid w:val="00111933"/>
    <w:rsid w:val="0011248E"/>
    <w:rsid w:val="00113338"/>
    <w:rsid w:val="00115DFD"/>
    <w:rsid w:val="00116C91"/>
    <w:rsid w:val="001178FC"/>
    <w:rsid w:val="00122801"/>
    <w:rsid w:val="00123942"/>
    <w:rsid w:val="00123AAF"/>
    <w:rsid w:val="00130A59"/>
    <w:rsid w:val="00133561"/>
    <w:rsid w:val="00140EC6"/>
    <w:rsid w:val="0014359B"/>
    <w:rsid w:val="00144EE5"/>
    <w:rsid w:val="001453F6"/>
    <w:rsid w:val="0015235F"/>
    <w:rsid w:val="00152F9D"/>
    <w:rsid w:val="00153C79"/>
    <w:rsid w:val="00153D01"/>
    <w:rsid w:val="00154C51"/>
    <w:rsid w:val="00156682"/>
    <w:rsid w:val="00157C02"/>
    <w:rsid w:val="00161747"/>
    <w:rsid w:val="00165C79"/>
    <w:rsid w:val="001667F8"/>
    <w:rsid w:val="00166928"/>
    <w:rsid w:val="00166E53"/>
    <w:rsid w:val="001705C2"/>
    <w:rsid w:val="00171BAA"/>
    <w:rsid w:val="00173414"/>
    <w:rsid w:val="00176037"/>
    <w:rsid w:val="00177181"/>
    <w:rsid w:val="00187E0E"/>
    <w:rsid w:val="00192909"/>
    <w:rsid w:val="001949CE"/>
    <w:rsid w:val="00195005"/>
    <w:rsid w:val="001958B9"/>
    <w:rsid w:val="0019677D"/>
    <w:rsid w:val="00196ED6"/>
    <w:rsid w:val="00197D02"/>
    <w:rsid w:val="001A0F88"/>
    <w:rsid w:val="001A2645"/>
    <w:rsid w:val="001A34D8"/>
    <w:rsid w:val="001A445B"/>
    <w:rsid w:val="001A4617"/>
    <w:rsid w:val="001A49B3"/>
    <w:rsid w:val="001A691A"/>
    <w:rsid w:val="001A7CE0"/>
    <w:rsid w:val="001A7EF7"/>
    <w:rsid w:val="001B0FD4"/>
    <w:rsid w:val="001B287C"/>
    <w:rsid w:val="001B6A4D"/>
    <w:rsid w:val="001C11D8"/>
    <w:rsid w:val="001C199D"/>
    <w:rsid w:val="001C2183"/>
    <w:rsid w:val="001C28D8"/>
    <w:rsid w:val="001C6A92"/>
    <w:rsid w:val="001D2A5A"/>
    <w:rsid w:val="001D3A44"/>
    <w:rsid w:val="001D3FD7"/>
    <w:rsid w:val="001E1367"/>
    <w:rsid w:val="001E25E4"/>
    <w:rsid w:val="001E273B"/>
    <w:rsid w:val="001E421B"/>
    <w:rsid w:val="001E54E9"/>
    <w:rsid w:val="001F01EF"/>
    <w:rsid w:val="001F27B0"/>
    <w:rsid w:val="001F3655"/>
    <w:rsid w:val="001F40A7"/>
    <w:rsid w:val="001F6D15"/>
    <w:rsid w:val="002001EF"/>
    <w:rsid w:val="0020253F"/>
    <w:rsid w:val="00203366"/>
    <w:rsid w:val="00204D74"/>
    <w:rsid w:val="0021123E"/>
    <w:rsid w:val="00212541"/>
    <w:rsid w:val="0021342B"/>
    <w:rsid w:val="00213AD3"/>
    <w:rsid w:val="00214D48"/>
    <w:rsid w:val="00215020"/>
    <w:rsid w:val="00217D0C"/>
    <w:rsid w:val="00220888"/>
    <w:rsid w:val="00220B8F"/>
    <w:rsid w:val="00220C88"/>
    <w:rsid w:val="002213AE"/>
    <w:rsid w:val="00221C87"/>
    <w:rsid w:val="00224E90"/>
    <w:rsid w:val="00225A37"/>
    <w:rsid w:val="00227CC0"/>
    <w:rsid w:val="002314DE"/>
    <w:rsid w:val="00232702"/>
    <w:rsid w:val="00232B85"/>
    <w:rsid w:val="00233B3A"/>
    <w:rsid w:val="00233BDF"/>
    <w:rsid w:val="0023586E"/>
    <w:rsid w:val="0024127F"/>
    <w:rsid w:val="002428CF"/>
    <w:rsid w:val="00242D88"/>
    <w:rsid w:val="00243BEA"/>
    <w:rsid w:val="002462A0"/>
    <w:rsid w:val="002470B2"/>
    <w:rsid w:val="00250684"/>
    <w:rsid w:val="0025097C"/>
    <w:rsid w:val="00250CBA"/>
    <w:rsid w:val="002539FC"/>
    <w:rsid w:val="00254A80"/>
    <w:rsid w:val="00255BDD"/>
    <w:rsid w:val="002566A6"/>
    <w:rsid w:val="00265036"/>
    <w:rsid w:val="00265DDA"/>
    <w:rsid w:val="002662DB"/>
    <w:rsid w:val="00267435"/>
    <w:rsid w:val="00271C1D"/>
    <w:rsid w:val="0027240C"/>
    <w:rsid w:val="00273827"/>
    <w:rsid w:val="002747D7"/>
    <w:rsid w:val="002757AB"/>
    <w:rsid w:val="002761ED"/>
    <w:rsid w:val="00277E58"/>
    <w:rsid w:val="00281868"/>
    <w:rsid w:val="00281F1A"/>
    <w:rsid w:val="002826AE"/>
    <w:rsid w:val="00282F2B"/>
    <w:rsid w:val="002854A3"/>
    <w:rsid w:val="002877D3"/>
    <w:rsid w:val="00291C8A"/>
    <w:rsid w:val="00292FA2"/>
    <w:rsid w:val="002937B3"/>
    <w:rsid w:val="00293BEF"/>
    <w:rsid w:val="00293F3B"/>
    <w:rsid w:val="00294A0F"/>
    <w:rsid w:val="00295288"/>
    <w:rsid w:val="00296B74"/>
    <w:rsid w:val="002A3827"/>
    <w:rsid w:val="002A3AEA"/>
    <w:rsid w:val="002A633D"/>
    <w:rsid w:val="002A6D56"/>
    <w:rsid w:val="002B05A5"/>
    <w:rsid w:val="002B1A05"/>
    <w:rsid w:val="002B2158"/>
    <w:rsid w:val="002B68C0"/>
    <w:rsid w:val="002B7953"/>
    <w:rsid w:val="002B7AA0"/>
    <w:rsid w:val="002C03D9"/>
    <w:rsid w:val="002C04E1"/>
    <w:rsid w:val="002C0BBF"/>
    <w:rsid w:val="002C27F9"/>
    <w:rsid w:val="002C5CE2"/>
    <w:rsid w:val="002C641E"/>
    <w:rsid w:val="002C6698"/>
    <w:rsid w:val="002C6AC5"/>
    <w:rsid w:val="002D31AC"/>
    <w:rsid w:val="002D5F74"/>
    <w:rsid w:val="002D7250"/>
    <w:rsid w:val="002D7F3F"/>
    <w:rsid w:val="002E4207"/>
    <w:rsid w:val="002E492E"/>
    <w:rsid w:val="002E72E4"/>
    <w:rsid w:val="002F1413"/>
    <w:rsid w:val="002F507C"/>
    <w:rsid w:val="0030170A"/>
    <w:rsid w:val="0030460E"/>
    <w:rsid w:val="00306710"/>
    <w:rsid w:val="00307385"/>
    <w:rsid w:val="003107AC"/>
    <w:rsid w:val="003108D5"/>
    <w:rsid w:val="003161DA"/>
    <w:rsid w:val="00317367"/>
    <w:rsid w:val="00321FBC"/>
    <w:rsid w:val="00323647"/>
    <w:rsid w:val="00323DDD"/>
    <w:rsid w:val="00327999"/>
    <w:rsid w:val="00331281"/>
    <w:rsid w:val="00331DF0"/>
    <w:rsid w:val="003368BF"/>
    <w:rsid w:val="00342D12"/>
    <w:rsid w:val="00345684"/>
    <w:rsid w:val="0034727E"/>
    <w:rsid w:val="00347F2F"/>
    <w:rsid w:val="00351CFD"/>
    <w:rsid w:val="0035433F"/>
    <w:rsid w:val="00355006"/>
    <w:rsid w:val="003557AA"/>
    <w:rsid w:val="00356DE2"/>
    <w:rsid w:val="00371456"/>
    <w:rsid w:val="00373C2F"/>
    <w:rsid w:val="003756B7"/>
    <w:rsid w:val="00376866"/>
    <w:rsid w:val="0039049A"/>
    <w:rsid w:val="00392F77"/>
    <w:rsid w:val="00393547"/>
    <w:rsid w:val="00394778"/>
    <w:rsid w:val="00395879"/>
    <w:rsid w:val="00395D8F"/>
    <w:rsid w:val="003A00D9"/>
    <w:rsid w:val="003A0E5F"/>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D342A"/>
    <w:rsid w:val="003D4157"/>
    <w:rsid w:val="003D4383"/>
    <w:rsid w:val="003E193E"/>
    <w:rsid w:val="003E1D01"/>
    <w:rsid w:val="003E3B5C"/>
    <w:rsid w:val="003E4472"/>
    <w:rsid w:val="003E48FC"/>
    <w:rsid w:val="003E6598"/>
    <w:rsid w:val="003E6C45"/>
    <w:rsid w:val="003E77F5"/>
    <w:rsid w:val="003E7B35"/>
    <w:rsid w:val="003F05F3"/>
    <w:rsid w:val="003F0710"/>
    <w:rsid w:val="003F2DD3"/>
    <w:rsid w:val="003F44B5"/>
    <w:rsid w:val="003F68BB"/>
    <w:rsid w:val="0040226F"/>
    <w:rsid w:val="00402737"/>
    <w:rsid w:val="00403653"/>
    <w:rsid w:val="00403FEB"/>
    <w:rsid w:val="00405C8B"/>
    <w:rsid w:val="0041144F"/>
    <w:rsid w:val="00411D18"/>
    <w:rsid w:val="0041221D"/>
    <w:rsid w:val="0041351F"/>
    <w:rsid w:val="0041355A"/>
    <w:rsid w:val="00413F15"/>
    <w:rsid w:val="0041573F"/>
    <w:rsid w:val="004163D8"/>
    <w:rsid w:val="00417547"/>
    <w:rsid w:val="00421E85"/>
    <w:rsid w:val="0042346D"/>
    <w:rsid w:val="0042491A"/>
    <w:rsid w:val="004269C9"/>
    <w:rsid w:val="00426BD9"/>
    <w:rsid w:val="004302EB"/>
    <w:rsid w:val="004304D6"/>
    <w:rsid w:val="0043274E"/>
    <w:rsid w:val="004426F6"/>
    <w:rsid w:val="00443A60"/>
    <w:rsid w:val="00446243"/>
    <w:rsid w:val="00446BE4"/>
    <w:rsid w:val="00447E25"/>
    <w:rsid w:val="00450E96"/>
    <w:rsid w:val="00451128"/>
    <w:rsid w:val="00451A39"/>
    <w:rsid w:val="0045325D"/>
    <w:rsid w:val="00462B0D"/>
    <w:rsid w:val="00463E0C"/>
    <w:rsid w:val="00465A2F"/>
    <w:rsid w:val="00466208"/>
    <w:rsid w:val="00470C80"/>
    <w:rsid w:val="00471B6B"/>
    <w:rsid w:val="00472F51"/>
    <w:rsid w:val="00474438"/>
    <w:rsid w:val="00474E5D"/>
    <w:rsid w:val="004831C1"/>
    <w:rsid w:val="004949FE"/>
    <w:rsid w:val="004954B8"/>
    <w:rsid w:val="004A4B57"/>
    <w:rsid w:val="004A676C"/>
    <w:rsid w:val="004B0671"/>
    <w:rsid w:val="004B0BD0"/>
    <w:rsid w:val="004B2084"/>
    <w:rsid w:val="004B2607"/>
    <w:rsid w:val="004B6628"/>
    <w:rsid w:val="004B67FB"/>
    <w:rsid w:val="004B7466"/>
    <w:rsid w:val="004C22ED"/>
    <w:rsid w:val="004C4531"/>
    <w:rsid w:val="004C4838"/>
    <w:rsid w:val="004C60EE"/>
    <w:rsid w:val="004C7110"/>
    <w:rsid w:val="004C7822"/>
    <w:rsid w:val="004D29D1"/>
    <w:rsid w:val="004D3413"/>
    <w:rsid w:val="004D7336"/>
    <w:rsid w:val="004E33C2"/>
    <w:rsid w:val="004E3F92"/>
    <w:rsid w:val="004E535D"/>
    <w:rsid w:val="004E5BE6"/>
    <w:rsid w:val="004E7C14"/>
    <w:rsid w:val="004F077D"/>
    <w:rsid w:val="004F1701"/>
    <w:rsid w:val="004F2726"/>
    <w:rsid w:val="004F47E1"/>
    <w:rsid w:val="00500C6A"/>
    <w:rsid w:val="00501143"/>
    <w:rsid w:val="00501606"/>
    <w:rsid w:val="00501E46"/>
    <w:rsid w:val="00501F75"/>
    <w:rsid w:val="00502AB1"/>
    <w:rsid w:val="005031F2"/>
    <w:rsid w:val="00505C13"/>
    <w:rsid w:val="00506DB3"/>
    <w:rsid w:val="00507461"/>
    <w:rsid w:val="00507E6D"/>
    <w:rsid w:val="00514DCF"/>
    <w:rsid w:val="00516BC0"/>
    <w:rsid w:val="00517A89"/>
    <w:rsid w:val="00520C84"/>
    <w:rsid w:val="0052172F"/>
    <w:rsid w:val="00521EB9"/>
    <w:rsid w:val="005242C1"/>
    <w:rsid w:val="005263D6"/>
    <w:rsid w:val="00526ECA"/>
    <w:rsid w:val="00530AF2"/>
    <w:rsid w:val="00533294"/>
    <w:rsid w:val="00535A62"/>
    <w:rsid w:val="00537090"/>
    <w:rsid w:val="00544CC2"/>
    <w:rsid w:val="005463CC"/>
    <w:rsid w:val="00547622"/>
    <w:rsid w:val="005501C0"/>
    <w:rsid w:val="00550942"/>
    <w:rsid w:val="0055237E"/>
    <w:rsid w:val="005527C1"/>
    <w:rsid w:val="0055585E"/>
    <w:rsid w:val="00556117"/>
    <w:rsid w:val="00560E70"/>
    <w:rsid w:val="005615A2"/>
    <w:rsid w:val="0056308B"/>
    <w:rsid w:val="00565DC5"/>
    <w:rsid w:val="00566CA7"/>
    <w:rsid w:val="005676E1"/>
    <w:rsid w:val="00570DAD"/>
    <w:rsid w:val="00573075"/>
    <w:rsid w:val="005732F4"/>
    <w:rsid w:val="005734F4"/>
    <w:rsid w:val="00577A46"/>
    <w:rsid w:val="00581320"/>
    <w:rsid w:val="005828E9"/>
    <w:rsid w:val="00586DFD"/>
    <w:rsid w:val="005907E0"/>
    <w:rsid w:val="005919C4"/>
    <w:rsid w:val="00592C50"/>
    <w:rsid w:val="0059359F"/>
    <w:rsid w:val="005A0798"/>
    <w:rsid w:val="005A0C46"/>
    <w:rsid w:val="005A30DA"/>
    <w:rsid w:val="005A338D"/>
    <w:rsid w:val="005A3826"/>
    <w:rsid w:val="005A3F8B"/>
    <w:rsid w:val="005B3FF8"/>
    <w:rsid w:val="005B44F0"/>
    <w:rsid w:val="005B7632"/>
    <w:rsid w:val="005C422F"/>
    <w:rsid w:val="005C531D"/>
    <w:rsid w:val="005D065B"/>
    <w:rsid w:val="005D0BF7"/>
    <w:rsid w:val="005D0E8B"/>
    <w:rsid w:val="005D2164"/>
    <w:rsid w:val="005D4365"/>
    <w:rsid w:val="005D5057"/>
    <w:rsid w:val="005D5094"/>
    <w:rsid w:val="005D6551"/>
    <w:rsid w:val="005D7CCD"/>
    <w:rsid w:val="005E14FF"/>
    <w:rsid w:val="005E155B"/>
    <w:rsid w:val="005E3843"/>
    <w:rsid w:val="005E541B"/>
    <w:rsid w:val="005F22FB"/>
    <w:rsid w:val="005F2906"/>
    <w:rsid w:val="005F3F88"/>
    <w:rsid w:val="005F5BAA"/>
    <w:rsid w:val="0060479F"/>
    <w:rsid w:val="00605059"/>
    <w:rsid w:val="00614B3D"/>
    <w:rsid w:val="00614D61"/>
    <w:rsid w:val="006208C2"/>
    <w:rsid w:val="00623AAA"/>
    <w:rsid w:val="00627648"/>
    <w:rsid w:val="00630616"/>
    <w:rsid w:val="00630C67"/>
    <w:rsid w:val="0063169B"/>
    <w:rsid w:val="00632A91"/>
    <w:rsid w:val="00632B7C"/>
    <w:rsid w:val="0063707C"/>
    <w:rsid w:val="00641645"/>
    <w:rsid w:val="00644159"/>
    <w:rsid w:val="006543BA"/>
    <w:rsid w:val="00656C0E"/>
    <w:rsid w:val="0066591B"/>
    <w:rsid w:val="00666357"/>
    <w:rsid w:val="0066753C"/>
    <w:rsid w:val="00671406"/>
    <w:rsid w:val="006761D3"/>
    <w:rsid w:val="00676DA5"/>
    <w:rsid w:val="00681CAB"/>
    <w:rsid w:val="00683D43"/>
    <w:rsid w:val="00685FD6"/>
    <w:rsid w:val="006866FB"/>
    <w:rsid w:val="00687D97"/>
    <w:rsid w:val="006A208B"/>
    <w:rsid w:val="006A2A37"/>
    <w:rsid w:val="006A32D9"/>
    <w:rsid w:val="006A38B2"/>
    <w:rsid w:val="006A50E7"/>
    <w:rsid w:val="006A5190"/>
    <w:rsid w:val="006A6B82"/>
    <w:rsid w:val="006B04D5"/>
    <w:rsid w:val="006B49B4"/>
    <w:rsid w:val="006B4E0F"/>
    <w:rsid w:val="006B5AB1"/>
    <w:rsid w:val="006C0754"/>
    <w:rsid w:val="006C5BA2"/>
    <w:rsid w:val="006C7CA1"/>
    <w:rsid w:val="006D06FC"/>
    <w:rsid w:val="006D4340"/>
    <w:rsid w:val="006D53BC"/>
    <w:rsid w:val="006D7B86"/>
    <w:rsid w:val="006E00AC"/>
    <w:rsid w:val="006E0A61"/>
    <w:rsid w:val="006E1432"/>
    <w:rsid w:val="006E22DB"/>
    <w:rsid w:val="006E2F54"/>
    <w:rsid w:val="006E583A"/>
    <w:rsid w:val="006E5A56"/>
    <w:rsid w:val="006F05B9"/>
    <w:rsid w:val="006F27A6"/>
    <w:rsid w:val="006F305F"/>
    <w:rsid w:val="006F706C"/>
    <w:rsid w:val="006F77BE"/>
    <w:rsid w:val="006F7DF0"/>
    <w:rsid w:val="00700721"/>
    <w:rsid w:val="00701749"/>
    <w:rsid w:val="007027C1"/>
    <w:rsid w:val="0070370C"/>
    <w:rsid w:val="00704190"/>
    <w:rsid w:val="00704B26"/>
    <w:rsid w:val="00705CD2"/>
    <w:rsid w:val="007109B2"/>
    <w:rsid w:val="007129C0"/>
    <w:rsid w:val="00715902"/>
    <w:rsid w:val="0071622B"/>
    <w:rsid w:val="00716B66"/>
    <w:rsid w:val="0072001D"/>
    <w:rsid w:val="00720BF2"/>
    <w:rsid w:val="00724E1F"/>
    <w:rsid w:val="00725670"/>
    <w:rsid w:val="00727081"/>
    <w:rsid w:val="007279B7"/>
    <w:rsid w:val="007318C8"/>
    <w:rsid w:val="0073419B"/>
    <w:rsid w:val="00734DF4"/>
    <w:rsid w:val="00735DA6"/>
    <w:rsid w:val="00740D18"/>
    <w:rsid w:val="00741CEA"/>
    <w:rsid w:val="00742E68"/>
    <w:rsid w:val="007453EF"/>
    <w:rsid w:val="00745F88"/>
    <w:rsid w:val="00747241"/>
    <w:rsid w:val="00753223"/>
    <w:rsid w:val="00756692"/>
    <w:rsid w:val="00756A35"/>
    <w:rsid w:val="00757ED4"/>
    <w:rsid w:val="00760240"/>
    <w:rsid w:val="00760791"/>
    <w:rsid w:val="007618E0"/>
    <w:rsid w:val="00761BAD"/>
    <w:rsid w:val="00761FBB"/>
    <w:rsid w:val="0076287B"/>
    <w:rsid w:val="00763AA1"/>
    <w:rsid w:val="00764E89"/>
    <w:rsid w:val="007715A8"/>
    <w:rsid w:val="00775E21"/>
    <w:rsid w:val="00777C3A"/>
    <w:rsid w:val="00777CAA"/>
    <w:rsid w:val="00780307"/>
    <w:rsid w:val="007806B1"/>
    <w:rsid w:val="00781639"/>
    <w:rsid w:val="00790D03"/>
    <w:rsid w:val="007917EA"/>
    <w:rsid w:val="007941FD"/>
    <w:rsid w:val="007978F8"/>
    <w:rsid w:val="007A0E40"/>
    <w:rsid w:val="007A152D"/>
    <w:rsid w:val="007B2739"/>
    <w:rsid w:val="007B49BB"/>
    <w:rsid w:val="007B5935"/>
    <w:rsid w:val="007B76C5"/>
    <w:rsid w:val="007B7B6F"/>
    <w:rsid w:val="007C1421"/>
    <w:rsid w:val="007C344D"/>
    <w:rsid w:val="007C3B57"/>
    <w:rsid w:val="007C5555"/>
    <w:rsid w:val="007C5E40"/>
    <w:rsid w:val="007C6A2C"/>
    <w:rsid w:val="007D0CA6"/>
    <w:rsid w:val="007D2BD6"/>
    <w:rsid w:val="007D2FA1"/>
    <w:rsid w:val="007E09E5"/>
    <w:rsid w:val="007E2804"/>
    <w:rsid w:val="007E3363"/>
    <w:rsid w:val="007E6891"/>
    <w:rsid w:val="007E6BDE"/>
    <w:rsid w:val="007E6C12"/>
    <w:rsid w:val="007E7A98"/>
    <w:rsid w:val="007F2D3A"/>
    <w:rsid w:val="007F393C"/>
    <w:rsid w:val="007F3FC9"/>
    <w:rsid w:val="007F4FE6"/>
    <w:rsid w:val="007F7DCF"/>
    <w:rsid w:val="007F7F96"/>
    <w:rsid w:val="00800FBA"/>
    <w:rsid w:val="008027C6"/>
    <w:rsid w:val="00802FE0"/>
    <w:rsid w:val="00803BFF"/>
    <w:rsid w:val="0080549D"/>
    <w:rsid w:val="00806B8C"/>
    <w:rsid w:val="008103BD"/>
    <w:rsid w:val="008109EC"/>
    <w:rsid w:val="00810AB4"/>
    <w:rsid w:val="00810CF8"/>
    <w:rsid w:val="00811441"/>
    <w:rsid w:val="00812850"/>
    <w:rsid w:val="008142D2"/>
    <w:rsid w:val="0081488A"/>
    <w:rsid w:val="00814C71"/>
    <w:rsid w:val="00816C66"/>
    <w:rsid w:val="00821180"/>
    <w:rsid w:val="00821776"/>
    <w:rsid w:val="00824C4F"/>
    <w:rsid w:val="00825028"/>
    <w:rsid w:val="00830393"/>
    <w:rsid w:val="00831361"/>
    <w:rsid w:val="008335E8"/>
    <w:rsid w:val="00835DAC"/>
    <w:rsid w:val="00835F4B"/>
    <w:rsid w:val="008423BC"/>
    <w:rsid w:val="00842D2E"/>
    <w:rsid w:val="00844EB8"/>
    <w:rsid w:val="00845A32"/>
    <w:rsid w:val="00845CB8"/>
    <w:rsid w:val="0084628C"/>
    <w:rsid w:val="00854583"/>
    <w:rsid w:val="0085487E"/>
    <w:rsid w:val="008558FF"/>
    <w:rsid w:val="00855DE2"/>
    <w:rsid w:val="008614D3"/>
    <w:rsid w:val="00861A36"/>
    <w:rsid w:val="00861FB6"/>
    <w:rsid w:val="0086613A"/>
    <w:rsid w:val="00872214"/>
    <w:rsid w:val="0087622E"/>
    <w:rsid w:val="008809E8"/>
    <w:rsid w:val="00881876"/>
    <w:rsid w:val="00882AD4"/>
    <w:rsid w:val="0088332E"/>
    <w:rsid w:val="00883716"/>
    <w:rsid w:val="008859B4"/>
    <w:rsid w:val="0088782D"/>
    <w:rsid w:val="00890977"/>
    <w:rsid w:val="00893D17"/>
    <w:rsid w:val="00897A05"/>
    <w:rsid w:val="008A1155"/>
    <w:rsid w:val="008A246C"/>
    <w:rsid w:val="008A3801"/>
    <w:rsid w:val="008A4613"/>
    <w:rsid w:val="008A47FF"/>
    <w:rsid w:val="008A4F0F"/>
    <w:rsid w:val="008A514C"/>
    <w:rsid w:val="008A5C53"/>
    <w:rsid w:val="008A6BF3"/>
    <w:rsid w:val="008B028C"/>
    <w:rsid w:val="008B04E4"/>
    <w:rsid w:val="008B04ED"/>
    <w:rsid w:val="008B3587"/>
    <w:rsid w:val="008B410E"/>
    <w:rsid w:val="008B499D"/>
    <w:rsid w:val="008B7FB6"/>
    <w:rsid w:val="008C1FD9"/>
    <w:rsid w:val="008C2831"/>
    <w:rsid w:val="008C65DA"/>
    <w:rsid w:val="008D01F1"/>
    <w:rsid w:val="008D1D34"/>
    <w:rsid w:val="008D2BDB"/>
    <w:rsid w:val="008D3CC9"/>
    <w:rsid w:val="008D6EB7"/>
    <w:rsid w:val="008D77EA"/>
    <w:rsid w:val="008E0DEA"/>
    <w:rsid w:val="008E2ACF"/>
    <w:rsid w:val="008E3EDB"/>
    <w:rsid w:val="008E7525"/>
    <w:rsid w:val="008F20CC"/>
    <w:rsid w:val="008F225A"/>
    <w:rsid w:val="008F323C"/>
    <w:rsid w:val="008F3522"/>
    <w:rsid w:val="008F4BCB"/>
    <w:rsid w:val="008F6152"/>
    <w:rsid w:val="00900660"/>
    <w:rsid w:val="00901884"/>
    <w:rsid w:val="00912ECD"/>
    <w:rsid w:val="009144EA"/>
    <w:rsid w:val="0091739E"/>
    <w:rsid w:val="009208F3"/>
    <w:rsid w:val="00921568"/>
    <w:rsid w:val="0092174A"/>
    <w:rsid w:val="0092508C"/>
    <w:rsid w:val="00930A36"/>
    <w:rsid w:val="00930B3A"/>
    <w:rsid w:val="00930E0C"/>
    <w:rsid w:val="00934276"/>
    <w:rsid w:val="009342ED"/>
    <w:rsid w:val="00935E0D"/>
    <w:rsid w:val="00936FCB"/>
    <w:rsid w:val="00937589"/>
    <w:rsid w:val="0094002A"/>
    <w:rsid w:val="00940DAB"/>
    <w:rsid w:val="00944109"/>
    <w:rsid w:val="00944840"/>
    <w:rsid w:val="0094795B"/>
    <w:rsid w:val="009534F0"/>
    <w:rsid w:val="00957636"/>
    <w:rsid w:val="00960DCC"/>
    <w:rsid w:val="0096134C"/>
    <w:rsid w:val="009675E8"/>
    <w:rsid w:val="009702F5"/>
    <w:rsid w:val="00971838"/>
    <w:rsid w:val="009719E8"/>
    <w:rsid w:val="009775BA"/>
    <w:rsid w:val="00983498"/>
    <w:rsid w:val="009838DF"/>
    <w:rsid w:val="00985964"/>
    <w:rsid w:val="00990FD0"/>
    <w:rsid w:val="009925A6"/>
    <w:rsid w:val="00993DBE"/>
    <w:rsid w:val="009943BF"/>
    <w:rsid w:val="009A0B81"/>
    <w:rsid w:val="009A0E3E"/>
    <w:rsid w:val="009A127D"/>
    <w:rsid w:val="009A1CBE"/>
    <w:rsid w:val="009A7A43"/>
    <w:rsid w:val="009B083A"/>
    <w:rsid w:val="009B5AB2"/>
    <w:rsid w:val="009B6842"/>
    <w:rsid w:val="009B7740"/>
    <w:rsid w:val="009B7974"/>
    <w:rsid w:val="009C0659"/>
    <w:rsid w:val="009C17B6"/>
    <w:rsid w:val="009C640F"/>
    <w:rsid w:val="009D3265"/>
    <w:rsid w:val="009D4CC2"/>
    <w:rsid w:val="009D565D"/>
    <w:rsid w:val="009E0772"/>
    <w:rsid w:val="009E0AC1"/>
    <w:rsid w:val="009E1F7F"/>
    <w:rsid w:val="009F00B0"/>
    <w:rsid w:val="009F5706"/>
    <w:rsid w:val="009F6570"/>
    <w:rsid w:val="009F73F1"/>
    <w:rsid w:val="00A022C6"/>
    <w:rsid w:val="00A027CA"/>
    <w:rsid w:val="00A051E1"/>
    <w:rsid w:val="00A06107"/>
    <w:rsid w:val="00A0736B"/>
    <w:rsid w:val="00A07C0E"/>
    <w:rsid w:val="00A13415"/>
    <w:rsid w:val="00A142F5"/>
    <w:rsid w:val="00A14CFF"/>
    <w:rsid w:val="00A1507D"/>
    <w:rsid w:val="00A151BC"/>
    <w:rsid w:val="00A15D61"/>
    <w:rsid w:val="00A23961"/>
    <w:rsid w:val="00A23D42"/>
    <w:rsid w:val="00A309AC"/>
    <w:rsid w:val="00A30B44"/>
    <w:rsid w:val="00A30F4A"/>
    <w:rsid w:val="00A3207B"/>
    <w:rsid w:val="00A444F2"/>
    <w:rsid w:val="00A458D1"/>
    <w:rsid w:val="00A4615D"/>
    <w:rsid w:val="00A47657"/>
    <w:rsid w:val="00A47F11"/>
    <w:rsid w:val="00A53C0E"/>
    <w:rsid w:val="00A5736F"/>
    <w:rsid w:val="00A57D94"/>
    <w:rsid w:val="00A62FB4"/>
    <w:rsid w:val="00A63D7A"/>
    <w:rsid w:val="00A64F6A"/>
    <w:rsid w:val="00A6505C"/>
    <w:rsid w:val="00A713DE"/>
    <w:rsid w:val="00A726DB"/>
    <w:rsid w:val="00A739F7"/>
    <w:rsid w:val="00A73E1E"/>
    <w:rsid w:val="00A74F53"/>
    <w:rsid w:val="00A74FA0"/>
    <w:rsid w:val="00A75359"/>
    <w:rsid w:val="00A756FD"/>
    <w:rsid w:val="00A75EF3"/>
    <w:rsid w:val="00A77204"/>
    <w:rsid w:val="00A858CA"/>
    <w:rsid w:val="00A86EAC"/>
    <w:rsid w:val="00A904B8"/>
    <w:rsid w:val="00A90C3D"/>
    <w:rsid w:val="00A9582F"/>
    <w:rsid w:val="00A95917"/>
    <w:rsid w:val="00A95F7F"/>
    <w:rsid w:val="00A971E4"/>
    <w:rsid w:val="00A97889"/>
    <w:rsid w:val="00AA0AEF"/>
    <w:rsid w:val="00AA354E"/>
    <w:rsid w:val="00AA495A"/>
    <w:rsid w:val="00AA66C6"/>
    <w:rsid w:val="00AA66D1"/>
    <w:rsid w:val="00AA6787"/>
    <w:rsid w:val="00AA7F6B"/>
    <w:rsid w:val="00AB42E2"/>
    <w:rsid w:val="00AB6F66"/>
    <w:rsid w:val="00AC2FC3"/>
    <w:rsid w:val="00AC46E1"/>
    <w:rsid w:val="00AC55EB"/>
    <w:rsid w:val="00AC5A24"/>
    <w:rsid w:val="00AC64ED"/>
    <w:rsid w:val="00AD00BC"/>
    <w:rsid w:val="00AD1749"/>
    <w:rsid w:val="00AD1F69"/>
    <w:rsid w:val="00AD415E"/>
    <w:rsid w:val="00AD4F0F"/>
    <w:rsid w:val="00AE1507"/>
    <w:rsid w:val="00AE26FD"/>
    <w:rsid w:val="00AE3056"/>
    <w:rsid w:val="00AE5663"/>
    <w:rsid w:val="00AF3575"/>
    <w:rsid w:val="00AF6597"/>
    <w:rsid w:val="00AF7DFC"/>
    <w:rsid w:val="00B00B61"/>
    <w:rsid w:val="00B0264C"/>
    <w:rsid w:val="00B02C6E"/>
    <w:rsid w:val="00B036AD"/>
    <w:rsid w:val="00B04931"/>
    <w:rsid w:val="00B05A3A"/>
    <w:rsid w:val="00B06CAE"/>
    <w:rsid w:val="00B124CA"/>
    <w:rsid w:val="00B13D6D"/>
    <w:rsid w:val="00B149DE"/>
    <w:rsid w:val="00B14C58"/>
    <w:rsid w:val="00B14E79"/>
    <w:rsid w:val="00B15D33"/>
    <w:rsid w:val="00B15F10"/>
    <w:rsid w:val="00B16767"/>
    <w:rsid w:val="00B17412"/>
    <w:rsid w:val="00B21BAF"/>
    <w:rsid w:val="00B2312B"/>
    <w:rsid w:val="00B2673A"/>
    <w:rsid w:val="00B32922"/>
    <w:rsid w:val="00B33AED"/>
    <w:rsid w:val="00B34A4F"/>
    <w:rsid w:val="00B36451"/>
    <w:rsid w:val="00B36570"/>
    <w:rsid w:val="00B3753B"/>
    <w:rsid w:val="00B37D91"/>
    <w:rsid w:val="00B40228"/>
    <w:rsid w:val="00B41BB1"/>
    <w:rsid w:val="00B421BD"/>
    <w:rsid w:val="00B42FFB"/>
    <w:rsid w:val="00B50497"/>
    <w:rsid w:val="00B505CC"/>
    <w:rsid w:val="00B50FB5"/>
    <w:rsid w:val="00B566AF"/>
    <w:rsid w:val="00B57B28"/>
    <w:rsid w:val="00B629C0"/>
    <w:rsid w:val="00B635D6"/>
    <w:rsid w:val="00B66291"/>
    <w:rsid w:val="00B71DEA"/>
    <w:rsid w:val="00B76449"/>
    <w:rsid w:val="00B818E5"/>
    <w:rsid w:val="00B81D40"/>
    <w:rsid w:val="00B82837"/>
    <w:rsid w:val="00B82C10"/>
    <w:rsid w:val="00B82EAA"/>
    <w:rsid w:val="00B924A8"/>
    <w:rsid w:val="00B930A0"/>
    <w:rsid w:val="00B9360A"/>
    <w:rsid w:val="00B9417C"/>
    <w:rsid w:val="00B95630"/>
    <w:rsid w:val="00B9610C"/>
    <w:rsid w:val="00BA08CA"/>
    <w:rsid w:val="00BA0B84"/>
    <w:rsid w:val="00BA23C7"/>
    <w:rsid w:val="00BA2FA6"/>
    <w:rsid w:val="00BB38F6"/>
    <w:rsid w:val="00BB3B7B"/>
    <w:rsid w:val="00BC18C4"/>
    <w:rsid w:val="00BC39E8"/>
    <w:rsid w:val="00BD0866"/>
    <w:rsid w:val="00BD44DA"/>
    <w:rsid w:val="00BD7ADE"/>
    <w:rsid w:val="00BE2F9B"/>
    <w:rsid w:val="00BE54E2"/>
    <w:rsid w:val="00BE6DDE"/>
    <w:rsid w:val="00C0294D"/>
    <w:rsid w:val="00C04140"/>
    <w:rsid w:val="00C07980"/>
    <w:rsid w:val="00C1343D"/>
    <w:rsid w:val="00C1386B"/>
    <w:rsid w:val="00C152C5"/>
    <w:rsid w:val="00C1739D"/>
    <w:rsid w:val="00C21EF7"/>
    <w:rsid w:val="00C25A5E"/>
    <w:rsid w:val="00C2789D"/>
    <w:rsid w:val="00C278AE"/>
    <w:rsid w:val="00C309C1"/>
    <w:rsid w:val="00C31233"/>
    <w:rsid w:val="00C322CF"/>
    <w:rsid w:val="00C33043"/>
    <w:rsid w:val="00C33F9E"/>
    <w:rsid w:val="00C4177B"/>
    <w:rsid w:val="00C42906"/>
    <w:rsid w:val="00C43429"/>
    <w:rsid w:val="00C4457F"/>
    <w:rsid w:val="00C52653"/>
    <w:rsid w:val="00C528DF"/>
    <w:rsid w:val="00C52BB5"/>
    <w:rsid w:val="00C52C30"/>
    <w:rsid w:val="00C569E4"/>
    <w:rsid w:val="00C56E17"/>
    <w:rsid w:val="00C621BD"/>
    <w:rsid w:val="00C65FD6"/>
    <w:rsid w:val="00C66764"/>
    <w:rsid w:val="00C70148"/>
    <w:rsid w:val="00C705D2"/>
    <w:rsid w:val="00C70681"/>
    <w:rsid w:val="00C71486"/>
    <w:rsid w:val="00C7198D"/>
    <w:rsid w:val="00C71C92"/>
    <w:rsid w:val="00C72BAC"/>
    <w:rsid w:val="00C73F9E"/>
    <w:rsid w:val="00C77170"/>
    <w:rsid w:val="00C77F72"/>
    <w:rsid w:val="00C823CE"/>
    <w:rsid w:val="00C825DE"/>
    <w:rsid w:val="00C82802"/>
    <w:rsid w:val="00C83516"/>
    <w:rsid w:val="00C83BF6"/>
    <w:rsid w:val="00C84E1D"/>
    <w:rsid w:val="00C91220"/>
    <w:rsid w:val="00C938D4"/>
    <w:rsid w:val="00C9442E"/>
    <w:rsid w:val="00CA761E"/>
    <w:rsid w:val="00CB1224"/>
    <w:rsid w:val="00CB16A6"/>
    <w:rsid w:val="00CC1B48"/>
    <w:rsid w:val="00CC2841"/>
    <w:rsid w:val="00CC35DE"/>
    <w:rsid w:val="00CC43DC"/>
    <w:rsid w:val="00CC4DC6"/>
    <w:rsid w:val="00CC7CC4"/>
    <w:rsid w:val="00CC7EF7"/>
    <w:rsid w:val="00CD1BA1"/>
    <w:rsid w:val="00CD1D3A"/>
    <w:rsid w:val="00CE01D1"/>
    <w:rsid w:val="00CE21C9"/>
    <w:rsid w:val="00CE3347"/>
    <w:rsid w:val="00CE4345"/>
    <w:rsid w:val="00CE57C8"/>
    <w:rsid w:val="00CE5A82"/>
    <w:rsid w:val="00CE6EFF"/>
    <w:rsid w:val="00CE702F"/>
    <w:rsid w:val="00CE7B7C"/>
    <w:rsid w:val="00CE7B95"/>
    <w:rsid w:val="00CF3224"/>
    <w:rsid w:val="00CF3225"/>
    <w:rsid w:val="00CF700C"/>
    <w:rsid w:val="00D04514"/>
    <w:rsid w:val="00D05956"/>
    <w:rsid w:val="00D05EDD"/>
    <w:rsid w:val="00D07D1A"/>
    <w:rsid w:val="00D1029D"/>
    <w:rsid w:val="00D11BAD"/>
    <w:rsid w:val="00D12518"/>
    <w:rsid w:val="00D12CEB"/>
    <w:rsid w:val="00D15FDF"/>
    <w:rsid w:val="00D16C18"/>
    <w:rsid w:val="00D274EC"/>
    <w:rsid w:val="00D33001"/>
    <w:rsid w:val="00D34326"/>
    <w:rsid w:val="00D3472D"/>
    <w:rsid w:val="00D350E9"/>
    <w:rsid w:val="00D427BC"/>
    <w:rsid w:val="00D522C7"/>
    <w:rsid w:val="00D54A86"/>
    <w:rsid w:val="00D55DA6"/>
    <w:rsid w:val="00D62C55"/>
    <w:rsid w:val="00D6468F"/>
    <w:rsid w:val="00D654A2"/>
    <w:rsid w:val="00D654C7"/>
    <w:rsid w:val="00D67E99"/>
    <w:rsid w:val="00D742A7"/>
    <w:rsid w:val="00D76C0B"/>
    <w:rsid w:val="00D803AD"/>
    <w:rsid w:val="00D815F4"/>
    <w:rsid w:val="00D84EDA"/>
    <w:rsid w:val="00D862E3"/>
    <w:rsid w:val="00D90BE0"/>
    <w:rsid w:val="00D90D23"/>
    <w:rsid w:val="00D919F5"/>
    <w:rsid w:val="00D93012"/>
    <w:rsid w:val="00D94365"/>
    <w:rsid w:val="00D961D1"/>
    <w:rsid w:val="00D978C1"/>
    <w:rsid w:val="00DA00FA"/>
    <w:rsid w:val="00DA0790"/>
    <w:rsid w:val="00DA272D"/>
    <w:rsid w:val="00DA31F7"/>
    <w:rsid w:val="00DA378D"/>
    <w:rsid w:val="00DA44F7"/>
    <w:rsid w:val="00DA6FE9"/>
    <w:rsid w:val="00DA7EA3"/>
    <w:rsid w:val="00DB0E90"/>
    <w:rsid w:val="00DB1AE2"/>
    <w:rsid w:val="00DB2350"/>
    <w:rsid w:val="00DB3595"/>
    <w:rsid w:val="00DC05A1"/>
    <w:rsid w:val="00DC2AF9"/>
    <w:rsid w:val="00DC2E02"/>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D13"/>
    <w:rsid w:val="00DE2165"/>
    <w:rsid w:val="00DE2A55"/>
    <w:rsid w:val="00DE5BDE"/>
    <w:rsid w:val="00DF233F"/>
    <w:rsid w:val="00DF3848"/>
    <w:rsid w:val="00DF3BDF"/>
    <w:rsid w:val="00DF488E"/>
    <w:rsid w:val="00DF4C5F"/>
    <w:rsid w:val="00DF576E"/>
    <w:rsid w:val="00E00EB9"/>
    <w:rsid w:val="00E02AD4"/>
    <w:rsid w:val="00E034B6"/>
    <w:rsid w:val="00E0358E"/>
    <w:rsid w:val="00E14089"/>
    <w:rsid w:val="00E161A5"/>
    <w:rsid w:val="00E16CFB"/>
    <w:rsid w:val="00E17217"/>
    <w:rsid w:val="00E2008D"/>
    <w:rsid w:val="00E22245"/>
    <w:rsid w:val="00E32AF6"/>
    <w:rsid w:val="00E33F1D"/>
    <w:rsid w:val="00E3573C"/>
    <w:rsid w:val="00E36849"/>
    <w:rsid w:val="00E3778D"/>
    <w:rsid w:val="00E42C3F"/>
    <w:rsid w:val="00E43C39"/>
    <w:rsid w:val="00E45B05"/>
    <w:rsid w:val="00E46B7E"/>
    <w:rsid w:val="00E5044A"/>
    <w:rsid w:val="00E52DB3"/>
    <w:rsid w:val="00E53746"/>
    <w:rsid w:val="00E56A2D"/>
    <w:rsid w:val="00E57B12"/>
    <w:rsid w:val="00E60C91"/>
    <w:rsid w:val="00E61607"/>
    <w:rsid w:val="00E64B87"/>
    <w:rsid w:val="00E66052"/>
    <w:rsid w:val="00E712F5"/>
    <w:rsid w:val="00E80329"/>
    <w:rsid w:val="00E81081"/>
    <w:rsid w:val="00E81A53"/>
    <w:rsid w:val="00E82E95"/>
    <w:rsid w:val="00E85451"/>
    <w:rsid w:val="00E8705B"/>
    <w:rsid w:val="00E92AF0"/>
    <w:rsid w:val="00E9405A"/>
    <w:rsid w:val="00E9410A"/>
    <w:rsid w:val="00E963FD"/>
    <w:rsid w:val="00E96496"/>
    <w:rsid w:val="00EA288E"/>
    <w:rsid w:val="00EA4356"/>
    <w:rsid w:val="00EA6057"/>
    <w:rsid w:val="00EA64E0"/>
    <w:rsid w:val="00EB0910"/>
    <w:rsid w:val="00EB0FBA"/>
    <w:rsid w:val="00EB1E2F"/>
    <w:rsid w:val="00EB2CC4"/>
    <w:rsid w:val="00EB3209"/>
    <w:rsid w:val="00EB429D"/>
    <w:rsid w:val="00EB57F0"/>
    <w:rsid w:val="00EB5F74"/>
    <w:rsid w:val="00EB722F"/>
    <w:rsid w:val="00EC2FA9"/>
    <w:rsid w:val="00EC4454"/>
    <w:rsid w:val="00EC45C5"/>
    <w:rsid w:val="00EC4BCC"/>
    <w:rsid w:val="00EC720F"/>
    <w:rsid w:val="00ED0674"/>
    <w:rsid w:val="00ED522D"/>
    <w:rsid w:val="00ED73F9"/>
    <w:rsid w:val="00EE04A8"/>
    <w:rsid w:val="00EE65AF"/>
    <w:rsid w:val="00EE6DEF"/>
    <w:rsid w:val="00EF2A6E"/>
    <w:rsid w:val="00EF358F"/>
    <w:rsid w:val="00EF384B"/>
    <w:rsid w:val="00EF3C91"/>
    <w:rsid w:val="00EF4B1E"/>
    <w:rsid w:val="00EF4D02"/>
    <w:rsid w:val="00EF57A6"/>
    <w:rsid w:val="00F00D40"/>
    <w:rsid w:val="00F013AB"/>
    <w:rsid w:val="00F0294E"/>
    <w:rsid w:val="00F05423"/>
    <w:rsid w:val="00F06127"/>
    <w:rsid w:val="00F11DFB"/>
    <w:rsid w:val="00F13B74"/>
    <w:rsid w:val="00F141A5"/>
    <w:rsid w:val="00F151DA"/>
    <w:rsid w:val="00F15C53"/>
    <w:rsid w:val="00F179BC"/>
    <w:rsid w:val="00F22939"/>
    <w:rsid w:val="00F278C4"/>
    <w:rsid w:val="00F27AA3"/>
    <w:rsid w:val="00F31105"/>
    <w:rsid w:val="00F32045"/>
    <w:rsid w:val="00F321FF"/>
    <w:rsid w:val="00F32F28"/>
    <w:rsid w:val="00F339BE"/>
    <w:rsid w:val="00F344E4"/>
    <w:rsid w:val="00F43B80"/>
    <w:rsid w:val="00F441CD"/>
    <w:rsid w:val="00F44AF2"/>
    <w:rsid w:val="00F44DF2"/>
    <w:rsid w:val="00F455B0"/>
    <w:rsid w:val="00F502C4"/>
    <w:rsid w:val="00F52666"/>
    <w:rsid w:val="00F53077"/>
    <w:rsid w:val="00F54EC7"/>
    <w:rsid w:val="00F5516B"/>
    <w:rsid w:val="00F6205C"/>
    <w:rsid w:val="00F66354"/>
    <w:rsid w:val="00F7113A"/>
    <w:rsid w:val="00F72260"/>
    <w:rsid w:val="00F72B6C"/>
    <w:rsid w:val="00F817C8"/>
    <w:rsid w:val="00F839CF"/>
    <w:rsid w:val="00F84814"/>
    <w:rsid w:val="00F85BE9"/>
    <w:rsid w:val="00F91C83"/>
    <w:rsid w:val="00F923F2"/>
    <w:rsid w:val="00F93A55"/>
    <w:rsid w:val="00F9429D"/>
    <w:rsid w:val="00F95BF7"/>
    <w:rsid w:val="00FA00AC"/>
    <w:rsid w:val="00FA0EBD"/>
    <w:rsid w:val="00FA2A3F"/>
    <w:rsid w:val="00FA3CA5"/>
    <w:rsid w:val="00FA7063"/>
    <w:rsid w:val="00FA7B6B"/>
    <w:rsid w:val="00FB0BB2"/>
    <w:rsid w:val="00FB1EBB"/>
    <w:rsid w:val="00FB3C8A"/>
    <w:rsid w:val="00FB3CCD"/>
    <w:rsid w:val="00FC1156"/>
    <w:rsid w:val="00FC1296"/>
    <w:rsid w:val="00FC5555"/>
    <w:rsid w:val="00FC6658"/>
    <w:rsid w:val="00FC68BC"/>
    <w:rsid w:val="00FD48D3"/>
    <w:rsid w:val="00FE044D"/>
    <w:rsid w:val="00FE0928"/>
    <w:rsid w:val="00FE2415"/>
    <w:rsid w:val="00FE2756"/>
    <w:rsid w:val="00FE2F18"/>
    <w:rsid w:val="00FE509D"/>
    <w:rsid w:val="00FE7D32"/>
    <w:rsid w:val="00FF025B"/>
    <w:rsid w:val="00FF08D4"/>
    <w:rsid w:val="00FF105A"/>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0674"/>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uiPriority w:val="39"/>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336229706">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4AA07-DAFB-4B20-82C1-2FC84635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1234</Words>
  <Characters>7037</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7</cp:revision>
  <dcterms:created xsi:type="dcterms:W3CDTF">2017-01-09T05:23:00Z</dcterms:created>
  <dcterms:modified xsi:type="dcterms:W3CDTF">2017-01-10T01:11:00Z</dcterms:modified>
</cp:coreProperties>
</file>